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609" w:rsidRDefault="00C45609" w:rsidP="00156AB4">
      <w:pPr>
        <w:spacing w:after="0"/>
        <w:rPr>
          <w:rFonts w:ascii="Candara" w:hAnsi="Candara"/>
          <w:b/>
          <w:bCs/>
        </w:rPr>
      </w:pPr>
      <w:r>
        <w:rPr>
          <w:rFonts w:ascii="Candara" w:hAnsi="Candara"/>
          <w:b/>
          <w:bCs/>
          <w:noProof/>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-18588</wp:posOffset>
                </wp:positionV>
                <wp:extent cx="6604000" cy="336550"/>
                <wp:effectExtent l="0" t="0" r="25400" b="25400"/>
                <wp:wrapNone/>
                <wp:docPr id="2" name="Rectangle: Rounded Corners 2"/>
                <wp:cNvGraphicFramePr/>
                <a:graphic xmlns:a="http://schemas.openxmlformats.org/drawingml/2006/main">
                  <a:graphicData uri="http://schemas.microsoft.com/office/word/2010/wordprocessingShape">
                    <wps:wsp>
                      <wps:cNvSpPr/>
                      <wps:spPr>
                        <a:xfrm>
                          <a:off x="0" y="0"/>
                          <a:ext cx="6604000" cy="336550"/>
                        </a:xfrm>
                        <a:prstGeom prst="round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E11AA" w:rsidRPr="00C45609" w:rsidRDefault="00AF4655" w:rsidP="00156AB4">
                            <w:pPr>
                              <w:rPr>
                                <w:rFonts w:ascii="Cambria" w:hAnsi="Cambria"/>
                                <w:b/>
                                <w:bCs/>
                                <w:sz w:val="20"/>
                                <w:szCs w:val="20"/>
                              </w:rPr>
                            </w:pPr>
                            <w:r w:rsidRPr="006C092A">
                              <w:rPr>
                                <w:rFonts w:ascii="Cambria" w:hAnsi="Cambria"/>
                                <w:b/>
                                <w:bCs/>
                                <w:sz w:val="20"/>
                                <w:szCs w:val="20"/>
                              </w:rPr>
                              <w:t xml:space="preserve">Frontiers in </w:t>
                            </w:r>
                            <w:r>
                              <w:rPr>
                                <w:rFonts w:ascii="Cambria" w:hAnsi="Cambria"/>
                                <w:b/>
                                <w:bCs/>
                                <w:sz w:val="20"/>
                                <w:szCs w:val="20"/>
                              </w:rPr>
                              <w:t>Emerging</w:t>
                            </w:r>
                            <w:r w:rsidRPr="006C092A">
                              <w:rPr>
                                <w:rFonts w:ascii="Cambria" w:hAnsi="Cambria"/>
                                <w:b/>
                                <w:bCs/>
                                <w:sz w:val="20"/>
                                <w:szCs w:val="20"/>
                              </w:rPr>
                              <w:t xml:space="preserve"> </w:t>
                            </w:r>
                            <w:r>
                              <w:rPr>
                                <w:rFonts w:ascii="Cambria" w:hAnsi="Cambria"/>
                                <w:b/>
                                <w:bCs/>
                                <w:sz w:val="20"/>
                                <w:szCs w:val="20"/>
                              </w:rPr>
                              <w:t>Engineering</w:t>
                            </w:r>
                            <w:r w:rsidRPr="006C092A">
                              <w:rPr>
                                <w:rFonts w:ascii="Cambria" w:hAnsi="Cambria"/>
                                <w:b/>
                                <w:bCs/>
                                <w:sz w:val="20"/>
                                <w:szCs w:val="20"/>
                              </w:rPr>
                              <w:t xml:space="preserve"> </w:t>
                            </w:r>
                            <w:r>
                              <w:rPr>
                                <w:rFonts w:ascii="Cambria" w:hAnsi="Cambria"/>
                                <w:b/>
                                <w:bCs/>
                                <w:sz w:val="20"/>
                                <w:szCs w:val="20"/>
                              </w:rPr>
                              <w:t xml:space="preserve">&amp; Technologies </w:t>
                            </w:r>
                            <w:r w:rsidRPr="00C45609">
                              <w:rPr>
                                <w:rFonts w:ascii="Cambria" w:hAnsi="Cambria"/>
                                <w:b/>
                                <w:bCs/>
                                <w:sz w:val="20"/>
                                <w:szCs w:val="20"/>
                              </w:rPr>
                              <w:t xml:space="preserve">                        </w:t>
                            </w:r>
                            <w:r>
                              <w:rPr>
                                <w:rFonts w:ascii="Cambria" w:hAnsi="Cambria"/>
                                <w:b/>
                                <w:bCs/>
                                <w:sz w:val="20"/>
                                <w:szCs w:val="20"/>
                              </w:rPr>
                              <w:t xml:space="preserve">      </w:t>
                            </w:r>
                            <w:r w:rsidR="00FE11AA" w:rsidRPr="00C45609">
                              <w:rPr>
                                <w:rFonts w:ascii="Cambria" w:hAnsi="Cambria"/>
                                <w:b/>
                                <w:bCs/>
                                <w:sz w:val="20"/>
                                <w:szCs w:val="20"/>
                              </w:rPr>
                              <w:t xml:space="preserve">                               </w:t>
                            </w:r>
                            <w:r w:rsidR="00C45609">
                              <w:rPr>
                                <w:rFonts w:ascii="Cambria" w:hAnsi="Cambria"/>
                                <w:b/>
                                <w:bCs/>
                                <w:sz w:val="20"/>
                                <w:szCs w:val="20"/>
                              </w:rPr>
                              <w:t xml:space="preserve">                         </w:t>
                            </w:r>
                            <w:r w:rsidR="00FE11AA" w:rsidRPr="00C45609">
                              <w:rPr>
                                <w:rFonts w:ascii="Cambria" w:hAnsi="Cambria"/>
                                <w:b/>
                                <w:bCs/>
                                <w:sz w:val="20"/>
                                <w:szCs w:val="20"/>
                              </w:rPr>
                              <w:t xml:space="preserve">   </w:t>
                            </w:r>
                            <w:proofErr w:type="gramStart"/>
                            <w:r w:rsidR="00FE11AA" w:rsidRPr="00C45609">
                              <w:rPr>
                                <w:rFonts w:ascii="Cambria" w:hAnsi="Cambria"/>
                                <w:b/>
                                <w:bCs/>
                                <w:sz w:val="20"/>
                                <w:szCs w:val="20"/>
                              </w:rPr>
                              <w:t xml:space="preserve">   (</w:t>
                            </w:r>
                            <w:proofErr w:type="gramEnd"/>
                            <w:r w:rsidR="00FE11AA" w:rsidRPr="00C45609">
                              <w:rPr>
                                <w:rFonts w:ascii="Cambria" w:hAnsi="Cambria"/>
                                <w:b/>
                                <w:bCs/>
                                <w:sz w:val="20"/>
                                <w:szCs w:val="20"/>
                              </w:rPr>
                              <w:t>Open Access)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2" o:spid="_x0000_s1026" style="position:absolute;margin-left:0;margin-top:-1.45pt;width:520pt;height:2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" fillcolor="#002060" strokecolor="#002060" strokeweight="1pt">
                <v:stroke joinstyle="miter"/>
                <v:textbox>
                  <w:txbxContent>
                    <w:p w:rsidR="00FE11AA" w:rsidRPr="00C45609" w:rsidRDefault="00AF4655" w:rsidP="00156AB4">
                      <w:pPr>
                        <w:rPr>
                          <w:rFonts w:ascii="Cambria" w:hAnsi="Cambria"/>
                          <w:b/>
                          <w:bCs/>
                          <w:sz w:val="20"/>
                          <w:szCs w:val="20"/>
                        </w:rPr>
                      </w:pPr>
                      <w:r w:rsidRPr="006C092A">
                        <w:rPr>
                          <w:rFonts w:ascii="Cambria" w:hAnsi="Cambria"/>
                          <w:b/>
                          <w:bCs/>
                          <w:sz w:val="20"/>
                          <w:szCs w:val="20"/>
                        </w:rPr>
                        <w:t xml:space="preserve">Frontiers in </w:t>
                      </w:r>
                      <w:r>
                        <w:rPr>
                          <w:rFonts w:ascii="Cambria" w:hAnsi="Cambria"/>
                          <w:b/>
                          <w:bCs/>
                          <w:sz w:val="20"/>
                          <w:szCs w:val="20"/>
                        </w:rPr>
                        <w:t>Emerging</w:t>
                      </w:r>
                      <w:r w:rsidRPr="006C092A">
                        <w:rPr>
                          <w:rFonts w:ascii="Cambria" w:hAnsi="Cambria"/>
                          <w:b/>
                          <w:bCs/>
                          <w:sz w:val="20"/>
                          <w:szCs w:val="20"/>
                        </w:rPr>
                        <w:t xml:space="preserve"> </w:t>
                      </w:r>
                      <w:r>
                        <w:rPr>
                          <w:rFonts w:ascii="Cambria" w:hAnsi="Cambria"/>
                          <w:b/>
                          <w:bCs/>
                          <w:sz w:val="20"/>
                          <w:szCs w:val="20"/>
                        </w:rPr>
                        <w:t>Engineering</w:t>
                      </w:r>
                      <w:r w:rsidRPr="006C092A">
                        <w:rPr>
                          <w:rFonts w:ascii="Cambria" w:hAnsi="Cambria"/>
                          <w:b/>
                          <w:bCs/>
                          <w:sz w:val="20"/>
                          <w:szCs w:val="20"/>
                        </w:rPr>
                        <w:t xml:space="preserve"> </w:t>
                      </w:r>
                      <w:r>
                        <w:rPr>
                          <w:rFonts w:ascii="Cambria" w:hAnsi="Cambria"/>
                          <w:b/>
                          <w:bCs/>
                          <w:sz w:val="20"/>
                          <w:szCs w:val="20"/>
                        </w:rPr>
                        <w:t xml:space="preserve">&amp; Technologies </w:t>
                      </w:r>
                      <w:r w:rsidRPr="00C45609">
                        <w:rPr>
                          <w:rFonts w:ascii="Cambria" w:hAnsi="Cambria"/>
                          <w:b/>
                          <w:bCs/>
                          <w:sz w:val="20"/>
                          <w:szCs w:val="20"/>
                        </w:rPr>
                        <w:t xml:space="preserve">                        </w:t>
                      </w:r>
                      <w:r>
                        <w:rPr>
                          <w:rFonts w:ascii="Cambria" w:hAnsi="Cambria"/>
                          <w:b/>
                          <w:bCs/>
                          <w:sz w:val="20"/>
                          <w:szCs w:val="20"/>
                        </w:rPr>
                        <w:t xml:space="preserve">      </w:t>
                      </w:r>
                      <w:r w:rsidR="00FE11AA" w:rsidRPr="00C45609">
                        <w:rPr>
                          <w:rFonts w:ascii="Cambria" w:hAnsi="Cambria"/>
                          <w:b/>
                          <w:bCs/>
                          <w:sz w:val="20"/>
                          <w:szCs w:val="20"/>
                        </w:rPr>
                        <w:t xml:space="preserve">                               </w:t>
                      </w:r>
                      <w:r w:rsidR="00C45609">
                        <w:rPr>
                          <w:rFonts w:ascii="Cambria" w:hAnsi="Cambria"/>
                          <w:b/>
                          <w:bCs/>
                          <w:sz w:val="20"/>
                          <w:szCs w:val="20"/>
                        </w:rPr>
                        <w:t xml:space="preserve">                         </w:t>
                      </w:r>
                      <w:r w:rsidR="00FE11AA" w:rsidRPr="00C45609">
                        <w:rPr>
                          <w:rFonts w:ascii="Cambria" w:hAnsi="Cambria"/>
                          <w:b/>
                          <w:bCs/>
                          <w:sz w:val="20"/>
                          <w:szCs w:val="20"/>
                        </w:rPr>
                        <w:t xml:space="preserve">   </w:t>
                      </w:r>
                      <w:proofErr w:type="gramStart"/>
                      <w:r w:rsidR="00FE11AA" w:rsidRPr="00C45609">
                        <w:rPr>
                          <w:rFonts w:ascii="Cambria" w:hAnsi="Cambria"/>
                          <w:b/>
                          <w:bCs/>
                          <w:sz w:val="20"/>
                          <w:szCs w:val="20"/>
                        </w:rPr>
                        <w:t xml:space="preserve">   (</w:t>
                      </w:r>
                      <w:proofErr w:type="gramEnd"/>
                      <w:r w:rsidR="00FE11AA" w:rsidRPr="00C45609">
                        <w:rPr>
                          <w:rFonts w:ascii="Cambria" w:hAnsi="Cambria"/>
                          <w:b/>
                          <w:bCs/>
                          <w:sz w:val="20"/>
                          <w:szCs w:val="20"/>
                        </w:rPr>
                        <w:t>Open Access)</w:t>
                      </w:r>
                    </w:p>
                  </w:txbxContent>
                </v:textbox>
                <w10:wrap anchorx="margin"/>
              </v:roundrect>
            </w:pict>
          </mc:Fallback>
        </mc:AlternateContent>
      </w:r>
    </w:p>
    <w:p w:rsidR="00C45609" w:rsidRDefault="00C45609" w:rsidP="00156AB4">
      <w:pPr>
        <w:spacing w:after="0"/>
        <w:rPr>
          <w:rFonts w:ascii="Candara" w:hAnsi="Candara"/>
          <w:b/>
          <w:bCs/>
        </w:rPr>
      </w:pPr>
    </w:p>
    <w:p w:rsidR="00156AB4" w:rsidRPr="00C45609" w:rsidRDefault="00156AB4" w:rsidP="00156AB4">
      <w:pPr>
        <w:spacing w:after="0"/>
        <w:rPr>
          <w:rFonts w:ascii="Cambria" w:hAnsi="Cambria"/>
          <w:b/>
          <w:bCs/>
          <w:sz w:val="20"/>
          <w:szCs w:val="20"/>
        </w:rPr>
      </w:pPr>
      <w:r w:rsidRPr="00C45609">
        <w:rPr>
          <w:rFonts w:ascii="Cambria" w:hAnsi="Cambria"/>
          <w:b/>
          <w:bCs/>
          <w:sz w:val="20"/>
          <w:szCs w:val="20"/>
        </w:rPr>
        <w:t xml:space="preserve">Volume </w:t>
      </w:r>
      <w:r w:rsidR="00C20993">
        <w:rPr>
          <w:rFonts w:ascii="Cambria" w:hAnsi="Cambria"/>
          <w:b/>
          <w:bCs/>
          <w:sz w:val="20"/>
          <w:szCs w:val="20"/>
        </w:rPr>
        <w:t>0</w:t>
      </w:r>
      <w:r w:rsidR="00AF4655">
        <w:rPr>
          <w:rFonts w:ascii="Cambria" w:hAnsi="Cambria"/>
          <w:b/>
          <w:bCs/>
          <w:sz w:val="20"/>
          <w:szCs w:val="20"/>
        </w:rPr>
        <w:t>3</w:t>
      </w:r>
      <w:r w:rsidRPr="00C45609">
        <w:rPr>
          <w:rFonts w:ascii="Cambria" w:hAnsi="Cambria"/>
          <w:b/>
          <w:bCs/>
          <w:sz w:val="20"/>
          <w:szCs w:val="20"/>
        </w:rPr>
        <w:t xml:space="preserve">, Issue </w:t>
      </w:r>
      <w:r w:rsidR="00C20993">
        <w:rPr>
          <w:rFonts w:ascii="Cambria" w:hAnsi="Cambria"/>
          <w:b/>
          <w:bCs/>
          <w:sz w:val="20"/>
          <w:szCs w:val="20"/>
        </w:rPr>
        <w:t>0</w:t>
      </w:r>
      <w:r w:rsidR="00AF4655">
        <w:rPr>
          <w:rFonts w:ascii="Cambria" w:hAnsi="Cambria"/>
          <w:b/>
          <w:bCs/>
          <w:sz w:val="20"/>
          <w:szCs w:val="20"/>
        </w:rPr>
        <w:t>6</w:t>
      </w:r>
      <w:r w:rsidRPr="00C45609">
        <w:rPr>
          <w:rFonts w:ascii="Cambria" w:hAnsi="Cambria"/>
          <w:b/>
          <w:bCs/>
          <w:sz w:val="20"/>
          <w:szCs w:val="20"/>
        </w:rPr>
        <w:t xml:space="preserve">, </w:t>
      </w:r>
      <w:r w:rsidR="006C092A">
        <w:rPr>
          <w:rFonts w:ascii="Cambria" w:hAnsi="Cambria"/>
          <w:b/>
          <w:bCs/>
          <w:sz w:val="20"/>
          <w:szCs w:val="20"/>
        </w:rPr>
        <w:t>J</w:t>
      </w:r>
      <w:r w:rsidR="00AF4655">
        <w:rPr>
          <w:rFonts w:ascii="Cambria" w:hAnsi="Cambria"/>
          <w:b/>
          <w:bCs/>
          <w:sz w:val="20"/>
          <w:szCs w:val="20"/>
        </w:rPr>
        <w:t>une</w:t>
      </w:r>
      <w:r w:rsidRPr="00C45609">
        <w:rPr>
          <w:rFonts w:ascii="Cambria" w:hAnsi="Cambria"/>
          <w:b/>
          <w:bCs/>
          <w:sz w:val="20"/>
          <w:szCs w:val="20"/>
        </w:rPr>
        <w:t>202</w:t>
      </w:r>
      <w:r w:rsidR="000B7CB9">
        <w:rPr>
          <w:rFonts w:ascii="Cambria" w:hAnsi="Cambria"/>
          <w:b/>
          <w:bCs/>
          <w:sz w:val="20"/>
          <w:szCs w:val="20"/>
        </w:rPr>
        <w:t>6</w:t>
      </w:r>
      <w:r w:rsidRPr="00C45609">
        <w:rPr>
          <w:rFonts w:ascii="Cambria" w:hAnsi="Cambria"/>
          <w:b/>
          <w:bCs/>
          <w:sz w:val="20"/>
          <w:szCs w:val="20"/>
        </w:rPr>
        <w:t>,</w:t>
      </w:r>
    </w:p>
    <w:p w:rsidR="008A0CD1" w:rsidRDefault="00156AB4" w:rsidP="00156AB4">
      <w:pPr>
        <w:spacing w:after="0"/>
        <w:rPr>
          <w:rFonts w:ascii="Cambria" w:hAnsi="Cambria"/>
          <w:b/>
          <w:bCs/>
          <w:sz w:val="20"/>
          <w:szCs w:val="20"/>
        </w:rPr>
      </w:pPr>
      <w:r w:rsidRPr="00C45609">
        <w:rPr>
          <w:rFonts w:ascii="Cambria" w:hAnsi="Cambria"/>
          <w:b/>
          <w:bCs/>
          <w:sz w:val="20"/>
          <w:szCs w:val="20"/>
        </w:rPr>
        <w:t xml:space="preserve">Publish Date: </w:t>
      </w:r>
      <w:r w:rsidR="007C668A">
        <w:rPr>
          <w:rFonts w:ascii="Cambria" w:hAnsi="Cambria"/>
          <w:b/>
          <w:bCs/>
          <w:sz w:val="20"/>
          <w:szCs w:val="20"/>
        </w:rPr>
        <w:t>0</w:t>
      </w:r>
      <w:r w:rsidR="00A8193F">
        <w:rPr>
          <w:rFonts w:ascii="Cambria" w:hAnsi="Cambria"/>
          <w:b/>
          <w:bCs/>
          <w:sz w:val="20"/>
          <w:szCs w:val="20"/>
        </w:rPr>
        <w:t>1</w:t>
      </w:r>
      <w:r w:rsidRPr="00C45609">
        <w:rPr>
          <w:rFonts w:ascii="Cambria" w:hAnsi="Cambria"/>
          <w:b/>
          <w:bCs/>
          <w:sz w:val="20"/>
          <w:szCs w:val="20"/>
        </w:rPr>
        <w:t>-</w:t>
      </w:r>
      <w:r w:rsidR="00C20993">
        <w:rPr>
          <w:rFonts w:ascii="Cambria" w:hAnsi="Cambria"/>
          <w:b/>
          <w:bCs/>
          <w:sz w:val="20"/>
          <w:szCs w:val="20"/>
        </w:rPr>
        <w:t>0</w:t>
      </w:r>
      <w:r w:rsidR="00AF4655">
        <w:rPr>
          <w:rFonts w:ascii="Cambria" w:hAnsi="Cambria"/>
          <w:b/>
          <w:bCs/>
          <w:sz w:val="20"/>
          <w:szCs w:val="20"/>
        </w:rPr>
        <w:t>6</w:t>
      </w:r>
      <w:r w:rsidRPr="00C45609">
        <w:rPr>
          <w:rFonts w:ascii="Cambria" w:hAnsi="Cambria"/>
          <w:b/>
          <w:bCs/>
          <w:sz w:val="20"/>
          <w:szCs w:val="20"/>
        </w:rPr>
        <w:t>-202</w:t>
      </w:r>
      <w:r w:rsidR="00AF4655">
        <w:rPr>
          <w:rFonts w:ascii="Cambria" w:hAnsi="Cambria"/>
          <w:b/>
          <w:bCs/>
          <w:sz w:val="20"/>
          <w:szCs w:val="20"/>
        </w:rPr>
        <w:t>6</w:t>
      </w:r>
    </w:p>
    <w:p w:rsidR="00086790" w:rsidRDefault="00086790" w:rsidP="00156AB4">
      <w:pPr>
        <w:spacing w:after="0"/>
        <w:rPr>
          <w:rFonts w:ascii="Candara" w:hAnsi="Candara"/>
          <w:b/>
          <w:bCs/>
        </w:rPr>
      </w:pPr>
      <w:r>
        <w:rPr>
          <w:b/>
          <w:i/>
          <w:noProof/>
          <w:sz w:val="15"/>
        </w:rPr>
        <mc:AlternateContent>
          <mc:Choice Requires="wps">
            <w:drawing>
              <wp:anchor distT="0" distB="0" distL="0" distR="0" simplePos="0" relativeHeight="251661312" behindDoc="1" locked="0" layoutInCell="1" allowOverlap="1" wp14:anchorId="118D0F99" wp14:editId="6B9C1B66">
                <wp:simplePos x="0" y="0"/>
                <wp:positionH relativeFrom="margin">
                  <wp:posOffset>0</wp:posOffset>
                </wp:positionH>
                <wp:positionV relativeFrom="paragraph">
                  <wp:posOffset>213937</wp:posOffset>
                </wp:positionV>
                <wp:extent cx="6546215" cy="45085"/>
                <wp:effectExtent l="0" t="0" r="26035" b="12065"/>
                <wp:wrapTopAndBottom/>
                <wp:docPr id="3"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546215" cy="45085"/>
                        </a:xfrm>
                        <a:custGeom>
                          <a:avLst/>
                          <a:gdLst/>
                          <a:ahLst/>
                          <a:cxnLst/>
                          <a:rect l="l" t="t" r="r" b="b"/>
                          <a:pathLst>
                            <a:path w="6402705">
                              <a:moveTo>
                                <a:pt x="0" y="0"/>
                              </a:moveTo>
                              <a:lnTo>
                                <a:pt x="6402628" y="0"/>
                              </a:lnTo>
                            </a:path>
                          </a:pathLst>
                        </a:custGeom>
                        <a:ln w="31750">
                          <a:solidFill>
                            <a:srgbClr val="00206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C8A01" id="Freeform: Shape 1" o:spid="_x0000_s1026" style="position:absolute;margin-left:0;margin-top:16.85pt;width:515.45pt;height:3.55pt;flip:y;z-index:-2516551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64027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" path="m,l6402628,e" filled="f" strokecolor="#002060" strokeweight="2.5pt">
                <v:path arrowok="t"/>
                <w10:wrap type="topAndBottom" anchorx="margin"/>
              </v:shape>
            </w:pict>
          </mc:Fallback>
        </mc:AlternateContent>
      </w:r>
      <w:r w:rsidRPr="00086790">
        <w:rPr>
          <w:rFonts w:ascii="Candara" w:hAnsi="Candara"/>
          <w:b/>
          <w:bCs/>
        </w:rPr>
        <w:t>Page</w:t>
      </w:r>
      <w:r w:rsidR="00502CF7">
        <w:rPr>
          <w:rFonts w:ascii="Candara" w:hAnsi="Candara"/>
          <w:b/>
          <w:bCs/>
        </w:rPr>
        <w:t xml:space="preserve"> </w:t>
      </w:r>
      <w:r w:rsidRPr="00086790">
        <w:rPr>
          <w:rFonts w:ascii="Candara" w:hAnsi="Candara"/>
          <w:b/>
          <w:bCs/>
        </w:rPr>
        <w:t>No.</w:t>
      </w:r>
      <w:r>
        <w:rPr>
          <w:rFonts w:ascii="Candara" w:hAnsi="Candara"/>
          <w:b/>
          <w:bCs/>
        </w:rPr>
        <w:t>0</w:t>
      </w:r>
      <w:r w:rsidR="007C668A">
        <w:rPr>
          <w:rFonts w:ascii="Candara" w:hAnsi="Candara"/>
          <w:b/>
          <w:bCs/>
        </w:rPr>
        <w:t>1</w:t>
      </w:r>
      <w:r w:rsidRPr="00086790">
        <w:rPr>
          <w:rFonts w:ascii="Candara" w:hAnsi="Candara"/>
          <w:b/>
          <w:bCs/>
        </w:rPr>
        <w:t>-</w:t>
      </w:r>
      <w:r w:rsidR="007C668A">
        <w:rPr>
          <w:rFonts w:ascii="Candara" w:hAnsi="Candara"/>
          <w:b/>
          <w:bCs/>
        </w:rPr>
        <w:t>1</w:t>
      </w:r>
      <w:r w:rsidR="00AF4655">
        <w:rPr>
          <w:rFonts w:ascii="Candara" w:hAnsi="Candara"/>
          <w:b/>
          <w:bCs/>
        </w:rPr>
        <w:t>3</w:t>
      </w:r>
    </w:p>
    <w:p w:rsidR="00AF4655" w:rsidRDefault="00AF4655" w:rsidP="00AF4655">
      <w:pPr>
        <w:tabs>
          <w:tab w:val="left" w:pos="4260"/>
        </w:tabs>
        <w:spacing w:before="240" w:after="0" w:line="240" w:lineRule="auto"/>
        <w:jc w:val="both"/>
        <w:rPr>
          <w:rFonts w:ascii="Cambria" w:hAnsi="Cambria" w:cstheme="majorBidi"/>
          <w:b/>
          <w:bCs/>
          <w:lang w:val="en-GB"/>
        </w:rPr>
      </w:pPr>
      <w:r w:rsidRPr="00AF4655">
        <w:rPr>
          <w:rFonts w:ascii="Cambria" w:hAnsi="Cambria" w:cstheme="majorBidi"/>
          <w:b/>
          <w:bCs/>
          <w:lang w:val="en-GB"/>
        </w:rPr>
        <w:t xml:space="preserve">A Robust Framework </w:t>
      </w:r>
      <w:proofErr w:type="gramStart"/>
      <w:r w:rsidRPr="00AF4655">
        <w:rPr>
          <w:rFonts w:ascii="Cambria" w:hAnsi="Cambria" w:cstheme="majorBidi"/>
          <w:b/>
          <w:bCs/>
          <w:lang w:val="en-GB"/>
        </w:rPr>
        <w:t>For</w:t>
      </w:r>
      <w:proofErr w:type="gramEnd"/>
      <w:r w:rsidRPr="00AF4655">
        <w:rPr>
          <w:rFonts w:ascii="Cambria" w:hAnsi="Cambria" w:cstheme="majorBidi"/>
          <w:b/>
          <w:bCs/>
          <w:lang w:val="en-GB"/>
        </w:rPr>
        <w:t xml:space="preserve"> Scalable Electronic Medical Record Systems In Next-Generation </w:t>
      </w:r>
      <w:proofErr w:type="spellStart"/>
      <w:r w:rsidRPr="00AF4655">
        <w:rPr>
          <w:rFonts w:ascii="Cambria" w:hAnsi="Cambria" w:cstheme="majorBidi"/>
          <w:b/>
          <w:bCs/>
          <w:lang w:val="en-GB"/>
        </w:rPr>
        <w:t>Behavioral</w:t>
      </w:r>
      <w:proofErr w:type="spellEnd"/>
      <w:r w:rsidRPr="00AF4655">
        <w:rPr>
          <w:rFonts w:ascii="Cambria" w:hAnsi="Cambria" w:cstheme="majorBidi"/>
          <w:b/>
          <w:bCs/>
          <w:lang w:val="en-GB"/>
        </w:rPr>
        <w:t xml:space="preserve"> Healthcare Environments</w:t>
      </w:r>
    </w:p>
    <w:p w:rsidR="00AF4655" w:rsidRDefault="00AF4655" w:rsidP="00AF4655">
      <w:pPr>
        <w:spacing w:after="0" w:line="240" w:lineRule="auto"/>
        <w:jc w:val="both"/>
        <w:rPr>
          <w:rFonts w:ascii="Cambria" w:hAnsi="Cambria" w:cstheme="majorBidi"/>
          <w:b/>
          <w:bCs/>
          <w:sz w:val="20"/>
          <w:szCs w:val="20"/>
          <w:lang w:val="en-GB"/>
        </w:rPr>
      </w:pPr>
    </w:p>
    <w:p w:rsidR="00AF4655" w:rsidRPr="00AF4655" w:rsidRDefault="00AF4655" w:rsidP="00AF4655">
      <w:pPr>
        <w:spacing w:after="0" w:line="240" w:lineRule="auto"/>
        <w:jc w:val="both"/>
        <w:rPr>
          <w:rFonts w:ascii="Cambria" w:hAnsi="Cambria" w:cstheme="majorBidi"/>
          <w:b/>
          <w:bCs/>
          <w:sz w:val="20"/>
          <w:szCs w:val="20"/>
          <w:lang w:val="en-GB"/>
        </w:rPr>
      </w:pPr>
      <w:proofErr w:type="spellStart"/>
      <w:r w:rsidRPr="00AF4655">
        <w:rPr>
          <w:rFonts w:ascii="Cambria" w:hAnsi="Cambria" w:cstheme="majorBidi"/>
          <w:b/>
          <w:bCs/>
          <w:sz w:val="20"/>
          <w:szCs w:val="20"/>
          <w:lang w:val="en-GB"/>
        </w:rPr>
        <w:t>Dr.</w:t>
      </w:r>
      <w:proofErr w:type="spellEnd"/>
      <w:r w:rsidRPr="00AF4655">
        <w:rPr>
          <w:rFonts w:ascii="Cambria" w:hAnsi="Cambria" w:cstheme="majorBidi"/>
          <w:b/>
          <w:bCs/>
          <w:sz w:val="20"/>
          <w:szCs w:val="20"/>
          <w:lang w:val="en-GB"/>
        </w:rPr>
        <w:t xml:space="preserve"> Aarav Kulkarni </w:t>
      </w:r>
    </w:p>
    <w:p w:rsidR="00AF4655" w:rsidRPr="00AF4655" w:rsidRDefault="00AF4655" w:rsidP="00AF4655">
      <w:pPr>
        <w:spacing w:after="0" w:line="240" w:lineRule="auto"/>
        <w:jc w:val="both"/>
        <w:rPr>
          <w:rFonts w:ascii="Cambria" w:hAnsi="Cambria" w:cstheme="majorBidi"/>
          <w:sz w:val="20"/>
          <w:szCs w:val="20"/>
          <w:lang w:val="en-GB"/>
        </w:rPr>
      </w:pPr>
      <w:r w:rsidRPr="00AF4655">
        <w:rPr>
          <w:rFonts w:ascii="Cambria" w:hAnsi="Cambria" w:cstheme="majorBidi"/>
          <w:sz w:val="20"/>
          <w:szCs w:val="20"/>
          <w:lang w:val="en-GB"/>
        </w:rPr>
        <w:t>Department of Intelligent Systems Engineering, National Institute of Emerging Technologies, Pune</w:t>
      </w:r>
    </w:p>
    <w:p w:rsidR="00AF4655" w:rsidRPr="00AF4655" w:rsidRDefault="00AF4655" w:rsidP="00AF4655">
      <w:pPr>
        <w:spacing w:after="0" w:line="240" w:lineRule="auto"/>
        <w:jc w:val="both"/>
        <w:rPr>
          <w:rFonts w:ascii="Cambria" w:hAnsi="Cambria" w:cstheme="majorBidi"/>
          <w:b/>
          <w:bCs/>
          <w:sz w:val="20"/>
          <w:szCs w:val="20"/>
          <w:lang w:val="en-GB"/>
        </w:rPr>
      </w:pPr>
    </w:p>
    <w:p w:rsidR="00AF4655" w:rsidRPr="00AF4655" w:rsidRDefault="00AF4655" w:rsidP="00AF4655">
      <w:pPr>
        <w:spacing w:after="0" w:line="240" w:lineRule="auto"/>
        <w:jc w:val="both"/>
        <w:rPr>
          <w:rFonts w:ascii="Cambria" w:hAnsi="Cambria" w:cstheme="majorBidi"/>
          <w:b/>
          <w:bCs/>
          <w:sz w:val="20"/>
          <w:szCs w:val="20"/>
          <w:lang w:val="en-GB"/>
        </w:rPr>
      </w:pPr>
      <w:proofErr w:type="spellStart"/>
      <w:r w:rsidRPr="00AF4655">
        <w:rPr>
          <w:rFonts w:ascii="Cambria" w:hAnsi="Cambria" w:cstheme="majorBidi"/>
          <w:b/>
          <w:bCs/>
          <w:sz w:val="20"/>
          <w:szCs w:val="20"/>
          <w:lang w:val="en-GB"/>
        </w:rPr>
        <w:t>Dr.</w:t>
      </w:r>
      <w:proofErr w:type="spellEnd"/>
      <w:r w:rsidRPr="00AF4655">
        <w:rPr>
          <w:rFonts w:ascii="Cambria" w:hAnsi="Cambria" w:cstheme="majorBidi"/>
          <w:b/>
          <w:bCs/>
          <w:sz w:val="20"/>
          <w:szCs w:val="20"/>
          <w:lang w:val="en-GB"/>
        </w:rPr>
        <w:t xml:space="preserve"> Meera Venkatesh </w:t>
      </w:r>
    </w:p>
    <w:p w:rsidR="00C20993" w:rsidRPr="00AF4655" w:rsidRDefault="00AF4655" w:rsidP="00AF4655">
      <w:pPr>
        <w:spacing w:after="0" w:line="240" w:lineRule="auto"/>
        <w:jc w:val="both"/>
        <w:rPr>
          <w:rFonts w:ascii="Cambria" w:hAnsi="Cambria" w:cstheme="majorBidi"/>
          <w:sz w:val="20"/>
          <w:szCs w:val="20"/>
          <w:lang w:val="en-GB"/>
        </w:rPr>
      </w:pPr>
      <w:proofErr w:type="spellStart"/>
      <w:r w:rsidRPr="00AF4655">
        <w:rPr>
          <w:rFonts w:ascii="Cambria" w:hAnsi="Cambria" w:cstheme="majorBidi"/>
          <w:sz w:val="20"/>
          <w:szCs w:val="20"/>
          <w:lang w:val="en-GB"/>
        </w:rPr>
        <w:t>Center</w:t>
      </w:r>
      <w:proofErr w:type="spellEnd"/>
      <w:r w:rsidRPr="00AF4655">
        <w:rPr>
          <w:rFonts w:ascii="Cambria" w:hAnsi="Cambria" w:cstheme="majorBidi"/>
          <w:sz w:val="20"/>
          <w:szCs w:val="20"/>
          <w:lang w:val="en-GB"/>
        </w:rPr>
        <w:t xml:space="preserve"> for Advanced Computing and Automation, Institute of Smart Engineering Research, Bengaluru</w:t>
      </w:r>
    </w:p>
    <w:p w:rsidR="00AF4655" w:rsidRDefault="00AF4655" w:rsidP="00AF4655">
      <w:pPr>
        <w:spacing w:after="0" w:line="240" w:lineRule="auto"/>
        <w:jc w:val="both"/>
        <w:rPr>
          <w:rFonts w:ascii="Cambria" w:hAnsi="Cambria"/>
          <w:i/>
          <w:iCs/>
          <w:sz w:val="20"/>
          <w:szCs w:val="20"/>
        </w:rPr>
      </w:pPr>
    </w:p>
    <w:p w:rsidR="00A01654" w:rsidRPr="00C45609" w:rsidRDefault="00A01654" w:rsidP="00C20993">
      <w:pPr>
        <w:spacing w:line="276" w:lineRule="auto"/>
        <w:jc w:val="both"/>
        <w:rPr>
          <w:rFonts w:ascii="Cambria" w:hAnsi="Cambria"/>
          <w:b/>
          <w:bCs/>
          <w:sz w:val="20"/>
          <w:szCs w:val="20"/>
        </w:rPr>
      </w:pPr>
      <w:r w:rsidRPr="00C20993">
        <w:rPr>
          <w:rFonts w:ascii="Cambria" w:hAnsi="Cambria"/>
          <w:b/>
          <w:bCs/>
          <w:color w:val="000000" w:themeColor="text1"/>
        </w:rPr>
        <w:t>ABSTRACT</w:t>
      </w:r>
    </w:p>
    <w:p w:rsidR="00AF4655" w:rsidRPr="00AF4655" w:rsidRDefault="00AF4655" w:rsidP="00AF4655">
      <w:pPr>
        <w:spacing w:line="276" w:lineRule="auto"/>
        <w:jc w:val="both"/>
        <w:rPr>
          <w:rFonts w:ascii="Cambria" w:hAnsi="Cambria"/>
          <w:sz w:val="20"/>
          <w:szCs w:val="20"/>
        </w:rPr>
      </w:pPr>
      <w:proofErr w:type="spellStart"/>
      <w:r w:rsidRPr="00AF4655">
        <w:rPr>
          <w:rFonts w:ascii="Cambria" w:hAnsi="Cambria"/>
          <w:sz w:val="20"/>
          <w:szCs w:val="20"/>
        </w:rPr>
        <w:t>Behavioral</w:t>
      </w:r>
      <w:proofErr w:type="spellEnd"/>
      <w:r w:rsidRPr="00AF4655">
        <w:rPr>
          <w:rFonts w:ascii="Cambria" w:hAnsi="Cambria"/>
          <w:sz w:val="20"/>
          <w:szCs w:val="20"/>
        </w:rPr>
        <w:t xml:space="preserve"> healthcare organizations increasingly rely on Electronic Medical Record (EMR) systems to manage clinical documentation, treatment planning, patient monitoring, regulatory compliance, and interdisciplinary coordination. However, the growing volume of </w:t>
      </w:r>
      <w:proofErr w:type="spellStart"/>
      <w:r w:rsidRPr="00AF4655">
        <w:rPr>
          <w:rFonts w:ascii="Cambria" w:hAnsi="Cambria"/>
          <w:sz w:val="20"/>
          <w:szCs w:val="20"/>
        </w:rPr>
        <w:t>behavioral</w:t>
      </w:r>
      <w:proofErr w:type="spellEnd"/>
      <w:r w:rsidRPr="00AF4655">
        <w:rPr>
          <w:rFonts w:ascii="Cambria" w:hAnsi="Cambria"/>
          <w:sz w:val="20"/>
          <w:szCs w:val="20"/>
        </w:rPr>
        <w:t xml:space="preserve"> health data, expanding telehealth adoption, interoperability requirements, and advanced analytics integration have exposed significant limitations in traditional EMR architectures. Many legacy systems suffer from scalability constraints, fragmented data exchange mechanisms, performance bottlenecks, and inadequate support for cloud-native deployment environments. These challenges are particularly pronounced in </w:t>
      </w:r>
      <w:proofErr w:type="spellStart"/>
      <w:r w:rsidRPr="00AF4655">
        <w:rPr>
          <w:rFonts w:ascii="Cambria" w:hAnsi="Cambria"/>
          <w:sz w:val="20"/>
          <w:szCs w:val="20"/>
        </w:rPr>
        <w:t>behavioral</w:t>
      </w:r>
      <w:proofErr w:type="spellEnd"/>
      <w:r w:rsidRPr="00AF4655">
        <w:rPr>
          <w:rFonts w:ascii="Cambria" w:hAnsi="Cambria"/>
          <w:sz w:val="20"/>
          <w:szCs w:val="20"/>
        </w:rPr>
        <w:t xml:space="preserve"> healthcare settings where longitudinal patient records, multidisciplinary workflows, and sensitive mental health information require secure, interoperable, and highly available information systems.</w:t>
      </w:r>
    </w:p>
    <w:p w:rsidR="00AF4655" w:rsidRPr="00AF4655" w:rsidRDefault="00AF4655" w:rsidP="00AF4655">
      <w:pPr>
        <w:spacing w:line="276" w:lineRule="auto"/>
        <w:jc w:val="both"/>
        <w:rPr>
          <w:rFonts w:ascii="Cambria" w:hAnsi="Cambria"/>
          <w:sz w:val="20"/>
          <w:szCs w:val="20"/>
        </w:rPr>
      </w:pPr>
      <w:r w:rsidRPr="00AF4655">
        <w:rPr>
          <w:rFonts w:ascii="Cambria" w:hAnsi="Cambria"/>
          <w:sz w:val="20"/>
          <w:szCs w:val="20"/>
        </w:rPr>
        <w:t xml:space="preserve">This research-review article develops a robust framework for scalable EMR systems tailored to next-generation </w:t>
      </w:r>
      <w:proofErr w:type="spellStart"/>
      <w:r w:rsidRPr="00AF4655">
        <w:rPr>
          <w:rFonts w:ascii="Cambria" w:hAnsi="Cambria"/>
          <w:sz w:val="20"/>
          <w:szCs w:val="20"/>
        </w:rPr>
        <w:t>behavioral</w:t>
      </w:r>
      <w:proofErr w:type="spellEnd"/>
      <w:r w:rsidRPr="00AF4655">
        <w:rPr>
          <w:rFonts w:ascii="Cambria" w:hAnsi="Cambria"/>
          <w:sz w:val="20"/>
          <w:szCs w:val="20"/>
        </w:rPr>
        <w:t xml:space="preserve"> healthcare environments. Through a comprehensive synthesis of existing literature on microservices architecture, cloud computing, interoperability standards, Fast Healthcare Interoperability Resources (FHIR), modular healthcare architectures, usability considerations, and </w:t>
      </w:r>
      <w:proofErr w:type="spellStart"/>
      <w:r w:rsidRPr="00AF4655">
        <w:rPr>
          <w:rFonts w:ascii="Cambria" w:hAnsi="Cambria"/>
          <w:sz w:val="20"/>
          <w:szCs w:val="20"/>
        </w:rPr>
        <w:t>behavioral</w:t>
      </w:r>
      <w:proofErr w:type="spellEnd"/>
      <w:r w:rsidRPr="00AF4655">
        <w:rPr>
          <w:rFonts w:ascii="Cambria" w:hAnsi="Cambria"/>
          <w:sz w:val="20"/>
          <w:szCs w:val="20"/>
        </w:rPr>
        <w:t xml:space="preserve"> health informatics, the study proposes an integrated architectural framework capable of addressing contemporary healthcare information management challenges. The framework combines microservices-based design principles, cloud-native deployment strategies, interoperability layers, security governance mechanisms, and analytics-ready infrastructure.</w:t>
      </w:r>
    </w:p>
    <w:p w:rsidR="00AF4655" w:rsidRPr="00AF4655" w:rsidRDefault="00AF4655" w:rsidP="00AF4655">
      <w:pPr>
        <w:spacing w:before="240" w:line="276" w:lineRule="auto"/>
        <w:jc w:val="both"/>
        <w:rPr>
          <w:rFonts w:ascii="Cambria" w:hAnsi="Cambria"/>
          <w:sz w:val="20"/>
          <w:szCs w:val="20"/>
        </w:rPr>
      </w:pPr>
      <w:r w:rsidRPr="00AF4655">
        <w:rPr>
          <w:rFonts w:ascii="Cambria" w:hAnsi="Cambria"/>
          <w:sz w:val="20"/>
          <w:szCs w:val="20"/>
        </w:rPr>
        <w:t xml:space="preserve">The findings indicate that scalability in </w:t>
      </w:r>
      <w:proofErr w:type="spellStart"/>
      <w:r w:rsidRPr="00AF4655">
        <w:rPr>
          <w:rFonts w:ascii="Cambria" w:hAnsi="Cambria"/>
          <w:sz w:val="20"/>
          <w:szCs w:val="20"/>
        </w:rPr>
        <w:t>behavioral</w:t>
      </w:r>
      <w:proofErr w:type="spellEnd"/>
      <w:r w:rsidRPr="00AF4655">
        <w:rPr>
          <w:rFonts w:ascii="Cambria" w:hAnsi="Cambria"/>
          <w:sz w:val="20"/>
          <w:szCs w:val="20"/>
        </w:rPr>
        <w:t xml:space="preserve"> health EMRs depends on architectural modularity, interoperability compliance, distributed service management, and secure cloud infrastructure. Furthermore, the study identifies critical relationships between system scalability, clinician usability, data accessibility, and organizational efficiency. The proposed framework contributes both theoretical and practical guidance for healthcare providers, software architects, policymakers, and researchers seeking to modernize </w:t>
      </w:r>
      <w:proofErr w:type="spellStart"/>
      <w:r w:rsidRPr="00AF4655">
        <w:rPr>
          <w:rFonts w:ascii="Cambria" w:hAnsi="Cambria"/>
          <w:sz w:val="20"/>
          <w:szCs w:val="20"/>
        </w:rPr>
        <w:t>behavioral</w:t>
      </w:r>
      <w:proofErr w:type="spellEnd"/>
      <w:r w:rsidRPr="00AF4655">
        <w:rPr>
          <w:rFonts w:ascii="Cambria" w:hAnsi="Cambria"/>
          <w:sz w:val="20"/>
          <w:szCs w:val="20"/>
        </w:rPr>
        <w:t xml:space="preserve"> health information systems while ensuring regulatory compliance, operational resilience, and future technological adaptability.</w:t>
      </w:r>
    </w:p>
    <w:p w:rsidR="000A518E" w:rsidRDefault="00C20993" w:rsidP="00AF4655">
      <w:pPr>
        <w:spacing w:before="240" w:line="276" w:lineRule="auto"/>
        <w:jc w:val="both"/>
        <w:rPr>
          <w:rFonts w:ascii="Cambria" w:hAnsi="Cambria"/>
          <w:sz w:val="20"/>
          <w:szCs w:val="20"/>
        </w:rPr>
      </w:pPr>
      <w:r w:rsidRPr="00C20993">
        <w:rPr>
          <w:rFonts w:ascii="Cambria" w:hAnsi="Cambria"/>
          <w:noProof/>
          <w:sz w:val="20"/>
          <w:szCs w:val="20"/>
        </w:rPr>
        <mc:AlternateContent>
          <mc:Choice Requires="wps">
            <w:drawing>
              <wp:anchor distT="0" distB="0" distL="0" distR="0" simplePos="0" relativeHeight="251665408" behindDoc="1" locked="0" layoutInCell="1" allowOverlap="1" wp14:anchorId="43679877" wp14:editId="7850F407">
                <wp:simplePos x="0" y="0"/>
                <wp:positionH relativeFrom="margin">
                  <wp:posOffset>-635</wp:posOffset>
                </wp:positionH>
                <wp:positionV relativeFrom="paragraph">
                  <wp:posOffset>610870</wp:posOffset>
                </wp:positionV>
                <wp:extent cx="6580505" cy="51435"/>
                <wp:effectExtent l="0" t="19050" r="10795" b="0"/>
                <wp:wrapTopAndBottom/>
                <wp:docPr id="1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0505" cy="51435"/>
                        </a:xfrm>
                        <a:custGeom>
                          <a:avLst/>
                          <a:gdLst/>
                          <a:ahLst/>
                          <a:cxnLst/>
                          <a:rect l="l" t="t" r="r" b="b"/>
                          <a:pathLst>
                            <a:path w="6402705">
                              <a:moveTo>
                                <a:pt x="0" y="0"/>
                              </a:moveTo>
                              <a:lnTo>
                                <a:pt x="6402628" y="0"/>
                              </a:lnTo>
                            </a:path>
                          </a:pathLst>
                        </a:custGeom>
                        <a:ln w="31750">
                          <a:solidFill>
                            <a:srgbClr val="00206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A824B" id="Freeform: Shape 1" o:spid="_x0000_s1026" style="position:absolute;margin-left:-.05pt;margin-top:48.1pt;width:518.15pt;height:4.05pt;z-index:-2516510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6402705,5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" path="m,l6402628,e" filled="f" strokecolor="#002060" strokeweight="2.5pt">
                <v:path arrowok="t"/>
                <w10:wrap type="topAndBottom" anchorx="margin"/>
              </v:shape>
            </w:pict>
          </mc:Fallback>
        </mc:AlternateContent>
      </w:r>
      <w:r w:rsidR="008859DF" w:rsidRPr="00C20993">
        <w:rPr>
          <w:rFonts w:ascii="Cambria" w:hAnsi="Cambria"/>
          <w:b/>
          <w:bCs/>
          <w:color w:val="000000" w:themeColor="text1"/>
        </w:rPr>
        <w:t>KEYWORDS:</w:t>
      </w:r>
      <w:r w:rsidR="008859DF" w:rsidRPr="00C45609">
        <w:rPr>
          <w:rFonts w:ascii="Cambria" w:hAnsi="Cambria"/>
          <w:sz w:val="20"/>
          <w:szCs w:val="20"/>
        </w:rPr>
        <w:t xml:space="preserve"> </w:t>
      </w:r>
      <w:proofErr w:type="spellStart"/>
      <w:r w:rsidR="00AF4655" w:rsidRPr="00AF4655">
        <w:rPr>
          <w:rFonts w:ascii="Cambria" w:hAnsi="Cambria"/>
          <w:sz w:val="20"/>
          <w:szCs w:val="20"/>
        </w:rPr>
        <w:t>Behavioral</w:t>
      </w:r>
      <w:proofErr w:type="spellEnd"/>
      <w:r w:rsidR="00AF4655" w:rsidRPr="00AF4655">
        <w:rPr>
          <w:rFonts w:ascii="Cambria" w:hAnsi="Cambria"/>
          <w:sz w:val="20"/>
          <w:szCs w:val="20"/>
        </w:rPr>
        <w:t xml:space="preserve"> Healthcare, Electronic Medical Records, Scalable Architecture, Microservices, Cloud Computing, FHIR Interoperability, Healthcare Informatics, Digital Health Systems, Cloud-Native Applications, Healthcare Data Management</w:t>
      </w:r>
    </w:p>
    <w:p w:rsidR="000A518E" w:rsidRPr="00C45609" w:rsidRDefault="000A518E" w:rsidP="00AF4655">
      <w:pPr>
        <w:spacing w:before="240" w:line="276" w:lineRule="auto"/>
        <w:jc w:val="both"/>
        <w:rPr>
          <w:rFonts w:ascii="Cambria" w:hAnsi="Cambria"/>
          <w:b/>
          <w:bCs/>
          <w:sz w:val="20"/>
          <w:szCs w:val="20"/>
        </w:rPr>
      </w:pPr>
      <w:r w:rsidRPr="00C20993">
        <w:rPr>
          <w:rFonts w:ascii="Cambria" w:hAnsi="Cambria"/>
          <w:b/>
          <w:bCs/>
          <w:color w:val="000000" w:themeColor="text1"/>
        </w:rPr>
        <w:t>INTRODUCTION</w:t>
      </w:r>
    </w:p>
    <w:p w:rsidR="00C20993" w:rsidRDefault="00C20993" w:rsidP="00AF4655">
      <w:pPr>
        <w:spacing w:after="0" w:line="276" w:lineRule="auto"/>
        <w:jc w:val="both"/>
        <w:rPr>
          <w:rFonts w:ascii="Cambria" w:hAnsi="Cambria"/>
          <w:sz w:val="20"/>
          <w:szCs w:val="20"/>
        </w:rPr>
        <w:sectPr w:rsidR="00C20993" w:rsidSect="00AF4655">
          <w:headerReference w:type="default" r:id="rId8"/>
          <w:footerReference w:type="default" r:id="rId9"/>
          <w:pgSz w:w="11906" w:h="16838"/>
          <w:pgMar w:top="720" w:right="720" w:bottom="720" w:left="720" w:header="680" w:footer="57" w:gutter="0"/>
          <w:pgNumType w:start="1"/>
          <w:cols w:space="708"/>
          <w:docGrid w:linePitch="360"/>
        </w:sectPr>
      </w:pPr>
    </w:p>
    <w:p w:rsidR="00AF4655" w:rsidRPr="00AF4655" w:rsidRDefault="00AF4655" w:rsidP="00AF4655">
      <w:pPr>
        <w:spacing w:before="100" w:beforeAutospacing="1" w:after="100" w:afterAutospacing="1" w:line="276" w:lineRule="auto"/>
        <w:jc w:val="both"/>
        <w:outlineLvl w:val="1"/>
        <w:rPr>
          <w:rFonts w:ascii="Cambria" w:eastAsia="Times New Roman" w:hAnsi="Cambria" w:cs="Times New Roman"/>
          <w:b/>
          <w:bCs/>
          <w:sz w:val="20"/>
          <w:szCs w:val="20"/>
        </w:rPr>
      </w:pPr>
      <w:r w:rsidRPr="00AF4655">
        <w:rPr>
          <w:rFonts w:ascii="Cambria" w:eastAsia="Times New Roman" w:hAnsi="Cambria" w:cs="Times New Roman"/>
          <w:b/>
          <w:bCs/>
          <w:sz w:val="20"/>
          <w:szCs w:val="20"/>
        </w:rPr>
        <w:t>1.1 Background</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 xml:space="preserve">Electronic Medical Record systems have become foundational components of modern healthcare delivery. These systems support patient information management, clinical decision-making, treatment documentation, regulatory reporting, and organizational coordination. In </w:t>
      </w:r>
      <w:proofErr w:type="spellStart"/>
      <w:r w:rsidRPr="00AF4655">
        <w:rPr>
          <w:rFonts w:ascii="Cambria" w:eastAsia="Times New Roman" w:hAnsi="Cambria" w:cs="Times New Roman"/>
          <w:sz w:val="20"/>
          <w:szCs w:val="20"/>
        </w:rPr>
        <w:t>behavioral</w:t>
      </w:r>
      <w:proofErr w:type="spellEnd"/>
      <w:r w:rsidRPr="00AF4655">
        <w:rPr>
          <w:rFonts w:ascii="Cambria" w:eastAsia="Times New Roman" w:hAnsi="Cambria" w:cs="Times New Roman"/>
          <w:sz w:val="20"/>
          <w:szCs w:val="20"/>
        </w:rPr>
        <w:t xml:space="preserve"> healthcare environments, EMRs play an </w:t>
      </w:r>
      <w:r w:rsidRPr="00AF4655">
        <w:rPr>
          <w:rFonts w:ascii="Cambria" w:eastAsia="Times New Roman" w:hAnsi="Cambria" w:cs="Times New Roman"/>
          <w:sz w:val="20"/>
          <w:szCs w:val="20"/>
        </w:rPr>
        <w:t>especially critical role because treatment often involves long-term patient engagement, multidisciplinary collaboration, continuous monitoring, and extensive documentation requirements (</w:t>
      </w:r>
      <w:proofErr w:type="spellStart"/>
      <w:r w:rsidRPr="00AF4655">
        <w:rPr>
          <w:rFonts w:ascii="Cambria" w:eastAsia="Times New Roman" w:hAnsi="Cambria" w:cs="Times New Roman"/>
          <w:sz w:val="20"/>
          <w:szCs w:val="20"/>
        </w:rPr>
        <w:t>Zurynski</w:t>
      </w:r>
      <w:proofErr w:type="spellEnd"/>
      <w:r w:rsidRPr="00AF4655">
        <w:rPr>
          <w:rFonts w:ascii="Cambria" w:eastAsia="Times New Roman" w:hAnsi="Cambria" w:cs="Times New Roman"/>
          <w:sz w:val="20"/>
          <w:szCs w:val="20"/>
        </w:rPr>
        <w:t xml:space="preserve"> et al., 2021).</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proofErr w:type="spellStart"/>
      <w:r w:rsidRPr="00AF4655">
        <w:rPr>
          <w:rFonts w:ascii="Cambria" w:eastAsia="Times New Roman" w:hAnsi="Cambria" w:cs="Times New Roman"/>
          <w:sz w:val="20"/>
          <w:szCs w:val="20"/>
        </w:rPr>
        <w:t>Behavioral</w:t>
      </w:r>
      <w:proofErr w:type="spellEnd"/>
      <w:r w:rsidRPr="00AF4655">
        <w:rPr>
          <w:rFonts w:ascii="Cambria" w:eastAsia="Times New Roman" w:hAnsi="Cambria" w:cs="Times New Roman"/>
          <w:sz w:val="20"/>
          <w:szCs w:val="20"/>
        </w:rPr>
        <w:t xml:space="preserve"> healthcare providers face unique operational challenges compared with many other clinical specialties. Mental health services frequently involve psychotherapy records, substance abuse treatment plans, psychiatric </w:t>
      </w:r>
      <w:r w:rsidRPr="00AF4655">
        <w:rPr>
          <w:rFonts w:ascii="Cambria" w:eastAsia="Times New Roman" w:hAnsi="Cambria" w:cs="Times New Roman"/>
          <w:sz w:val="20"/>
          <w:szCs w:val="20"/>
        </w:rPr>
        <w:lastRenderedPageBreak/>
        <w:t xml:space="preserve">evaluations, social determinants of health data, telehealth interactions, and care coordination activities. Consequently, </w:t>
      </w:r>
      <w:proofErr w:type="spellStart"/>
      <w:r w:rsidRPr="00AF4655">
        <w:rPr>
          <w:rFonts w:ascii="Cambria" w:eastAsia="Times New Roman" w:hAnsi="Cambria" w:cs="Times New Roman"/>
          <w:sz w:val="20"/>
          <w:szCs w:val="20"/>
        </w:rPr>
        <w:t>behavioral</w:t>
      </w:r>
      <w:proofErr w:type="spellEnd"/>
      <w:r w:rsidRPr="00AF4655">
        <w:rPr>
          <w:rFonts w:ascii="Cambria" w:eastAsia="Times New Roman" w:hAnsi="Cambria" w:cs="Times New Roman"/>
          <w:sz w:val="20"/>
          <w:szCs w:val="20"/>
        </w:rPr>
        <w:t xml:space="preserve"> healthcare organizations generate large volumes of complex and heterogeneous data requiring efficient storage, retrieval, and exchange mechanisms (</w:t>
      </w:r>
      <w:proofErr w:type="spellStart"/>
      <w:r w:rsidRPr="00AF4655">
        <w:rPr>
          <w:rFonts w:ascii="Cambria" w:eastAsia="Times New Roman" w:hAnsi="Cambria" w:cs="Times New Roman"/>
          <w:sz w:val="20"/>
          <w:szCs w:val="20"/>
        </w:rPr>
        <w:t>Kariotis</w:t>
      </w:r>
      <w:proofErr w:type="spellEnd"/>
      <w:r w:rsidRPr="00AF4655">
        <w:rPr>
          <w:rFonts w:ascii="Cambria" w:eastAsia="Times New Roman" w:hAnsi="Cambria" w:cs="Times New Roman"/>
          <w:sz w:val="20"/>
          <w:szCs w:val="20"/>
        </w:rPr>
        <w:t xml:space="preserve"> et al., 2022).</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 xml:space="preserve">The rapid digitization of healthcare has accelerated expectations regarding EMR functionality. Healthcare organizations increasingly require systems capable of supporting real-time analytics, interoperability across institutions, telehealth integration, mobile access, predictive </w:t>
      </w:r>
      <w:proofErr w:type="spellStart"/>
      <w:r w:rsidRPr="00AF4655">
        <w:rPr>
          <w:rFonts w:ascii="Cambria" w:eastAsia="Times New Roman" w:hAnsi="Cambria" w:cs="Times New Roman"/>
          <w:sz w:val="20"/>
          <w:szCs w:val="20"/>
        </w:rPr>
        <w:t>modeling</w:t>
      </w:r>
      <w:proofErr w:type="spellEnd"/>
      <w:r w:rsidRPr="00AF4655">
        <w:rPr>
          <w:rFonts w:ascii="Cambria" w:eastAsia="Times New Roman" w:hAnsi="Cambria" w:cs="Times New Roman"/>
          <w:sz w:val="20"/>
          <w:szCs w:val="20"/>
        </w:rPr>
        <w:t>, and cloud-based scalability. Traditional monolithic EMR architectures often struggle to satisfy these requirements because they were designed primarily for localized clinical environments rather than distributed digital ecosystems (Negro-</w:t>
      </w:r>
      <w:proofErr w:type="spellStart"/>
      <w:r w:rsidRPr="00AF4655">
        <w:rPr>
          <w:rFonts w:ascii="Cambria" w:eastAsia="Times New Roman" w:hAnsi="Cambria" w:cs="Times New Roman"/>
          <w:sz w:val="20"/>
          <w:szCs w:val="20"/>
        </w:rPr>
        <w:t>Calduch</w:t>
      </w:r>
      <w:proofErr w:type="spellEnd"/>
      <w:r w:rsidRPr="00AF4655">
        <w:rPr>
          <w:rFonts w:ascii="Cambria" w:eastAsia="Times New Roman" w:hAnsi="Cambria" w:cs="Times New Roman"/>
          <w:sz w:val="20"/>
          <w:szCs w:val="20"/>
        </w:rPr>
        <w:t xml:space="preserve"> et al., 2021).</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Recent advancements in cloud computing, service-oriented architecture, and microservices have created new opportunities for healthcare information system modernization. Studies have demonstrated that microservices-based approaches can significantly improve healthcare application scalability, flexibility, maintainability, and deployment efficiency (</w:t>
      </w:r>
      <w:proofErr w:type="spellStart"/>
      <w:r w:rsidRPr="00AF4655">
        <w:rPr>
          <w:rFonts w:ascii="Cambria" w:eastAsia="Times New Roman" w:hAnsi="Cambria" w:cs="Times New Roman"/>
          <w:sz w:val="20"/>
          <w:szCs w:val="20"/>
        </w:rPr>
        <w:t>Akerele</w:t>
      </w:r>
      <w:proofErr w:type="spellEnd"/>
      <w:r w:rsidRPr="00AF4655">
        <w:rPr>
          <w:rFonts w:ascii="Cambria" w:eastAsia="Times New Roman" w:hAnsi="Cambria" w:cs="Times New Roman"/>
          <w:sz w:val="20"/>
          <w:szCs w:val="20"/>
        </w:rPr>
        <w:t xml:space="preserve"> et al., 2024). These architectural paradigms allow organizations to independently scale system components according to workload demands while supporting continuous innovation and integration.</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Simultaneously, interoperability standards such as Fast Healthcare Interoperability Resources (FHIR) have emerged as critical enablers of healthcare data exchange. Effective interoperability is increasingly recognized as a prerequisite for coordinated patient care, telehealth expansion, population health management, and advanced healthcare analytics (</w:t>
      </w:r>
      <w:proofErr w:type="spellStart"/>
      <w:r w:rsidRPr="00AF4655">
        <w:rPr>
          <w:rFonts w:ascii="Cambria" w:eastAsia="Times New Roman" w:hAnsi="Cambria" w:cs="Times New Roman"/>
          <w:sz w:val="20"/>
          <w:szCs w:val="20"/>
        </w:rPr>
        <w:t>Vorisek</w:t>
      </w:r>
      <w:proofErr w:type="spellEnd"/>
      <w:r w:rsidRPr="00AF4655">
        <w:rPr>
          <w:rFonts w:ascii="Cambria" w:eastAsia="Times New Roman" w:hAnsi="Cambria" w:cs="Times New Roman"/>
          <w:sz w:val="20"/>
          <w:szCs w:val="20"/>
        </w:rPr>
        <w:t>, 2022; Tabari, 2024).</w:t>
      </w:r>
    </w:p>
    <w:p w:rsidR="00AF4655" w:rsidRPr="00AF4655" w:rsidRDefault="00AF4655" w:rsidP="00AF4655">
      <w:pPr>
        <w:spacing w:before="100" w:beforeAutospacing="1" w:after="100" w:afterAutospacing="1" w:line="276" w:lineRule="auto"/>
        <w:jc w:val="both"/>
        <w:outlineLvl w:val="1"/>
        <w:rPr>
          <w:rFonts w:ascii="Cambria" w:eastAsia="Times New Roman" w:hAnsi="Cambria" w:cs="Times New Roman"/>
          <w:b/>
          <w:bCs/>
          <w:sz w:val="20"/>
          <w:szCs w:val="20"/>
        </w:rPr>
      </w:pPr>
      <w:r w:rsidRPr="00AF4655">
        <w:rPr>
          <w:rFonts w:ascii="Cambria" w:eastAsia="Times New Roman" w:hAnsi="Cambria" w:cs="Times New Roman"/>
          <w:b/>
          <w:bCs/>
          <w:sz w:val="20"/>
          <w:szCs w:val="20"/>
        </w:rPr>
        <w:t>1.2 Problem Statement</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 xml:space="preserve">Despite substantial technological progress, many </w:t>
      </w:r>
      <w:proofErr w:type="spellStart"/>
      <w:r w:rsidRPr="00AF4655">
        <w:rPr>
          <w:rFonts w:ascii="Cambria" w:eastAsia="Times New Roman" w:hAnsi="Cambria" w:cs="Times New Roman"/>
          <w:sz w:val="20"/>
          <w:szCs w:val="20"/>
        </w:rPr>
        <w:t>behavioral</w:t>
      </w:r>
      <w:proofErr w:type="spellEnd"/>
      <w:r w:rsidRPr="00AF4655">
        <w:rPr>
          <w:rFonts w:ascii="Cambria" w:eastAsia="Times New Roman" w:hAnsi="Cambria" w:cs="Times New Roman"/>
          <w:sz w:val="20"/>
          <w:szCs w:val="20"/>
        </w:rPr>
        <w:t xml:space="preserve"> healthcare EMR systems continue to face persistent scalability and interoperability challenges. Legacy architectures frequently encounter performance degradation as patient populations expand, clinical workflows become more complex, and regulatory requirements increase. Furthermore, fragmented information exchange mechanisms hinder collaboration among healthcare providers and reduce the effectiveness of integrated care models.</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proofErr w:type="spellStart"/>
      <w:r w:rsidRPr="00AF4655">
        <w:rPr>
          <w:rFonts w:ascii="Cambria" w:eastAsia="Times New Roman" w:hAnsi="Cambria" w:cs="Times New Roman"/>
          <w:sz w:val="20"/>
          <w:szCs w:val="20"/>
        </w:rPr>
        <w:t>Behavioral</w:t>
      </w:r>
      <w:proofErr w:type="spellEnd"/>
      <w:r w:rsidRPr="00AF4655">
        <w:rPr>
          <w:rFonts w:ascii="Cambria" w:eastAsia="Times New Roman" w:hAnsi="Cambria" w:cs="Times New Roman"/>
          <w:sz w:val="20"/>
          <w:szCs w:val="20"/>
        </w:rPr>
        <w:t xml:space="preserve"> health organizations also encounter challenges related to cloud migration, cybersecurity, clinician usability, and analytics integration. Existing literature provides valuable insights into individual technological components; however, a comprehensive framework specifically addressing scalable </w:t>
      </w:r>
      <w:proofErr w:type="spellStart"/>
      <w:r w:rsidRPr="00AF4655">
        <w:rPr>
          <w:rFonts w:ascii="Cambria" w:eastAsia="Times New Roman" w:hAnsi="Cambria" w:cs="Times New Roman"/>
          <w:sz w:val="20"/>
          <w:szCs w:val="20"/>
        </w:rPr>
        <w:t>behavioral</w:t>
      </w:r>
      <w:proofErr w:type="spellEnd"/>
      <w:r w:rsidRPr="00AF4655">
        <w:rPr>
          <w:rFonts w:ascii="Cambria" w:eastAsia="Times New Roman" w:hAnsi="Cambria" w:cs="Times New Roman"/>
          <w:sz w:val="20"/>
          <w:szCs w:val="20"/>
        </w:rPr>
        <w:t xml:space="preserve"> healthcare EMR architecture remains insufficiently developed.</w:t>
      </w:r>
    </w:p>
    <w:p w:rsidR="00AF4655" w:rsidRPr="00AF4655" w:rsidRDefault="00AF4655" w:rsidP="00AF4655">
      <w:pPr>
        <w:spacing w:before="100" w:beforeAutospacing="1" w:after="100" w:afterAutospacing="1" w:line="276" w:lineRule="auto"/>
        <w:jc w:val="both"/>
        <w:outlineLvl w:val="1"/>
        <w:rPr>
          <w:rFonts w:ascii="Cambria" w:eastAsia="Times New Roman" w:hAnsi="Cambria" w:cs="Times New Roman"/>
          <w:b/>
          <w:bCs/>
          <w:sz w:val="20"/>
          <w:szCs w:val="20"/>
        </w:rPr>
      </w:pPr>
      <w:r w:rsidRPr="00AF4655">
        <w:rPr>
          <w:rFonts w:ascii="Cambria" w:eastAsia="Times New Roman" w:hAnsi="Cambria" w:cs="Times New Roman"/>
          <w:b/>
          <w:bCs/>
          <w:sz w:val="20"/>
          <w:szCs w:val="20"/>
        </w:rPr>
        <w:t>1.3 Research Objectives</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This study pursues four primary objectives:</w:t>
      </w:r>
    </w:p>
    <w:p w:rsidR="00AF4655" w:rsidRPr="00AF4655" w:rsidRDefault="00AF4655" w:rsidP="00402023">
      <w:pPr>
        <w:numPr>
          <w:ilvl w:val="0"/>
          <w:numId w:val="2"/>
        </w:num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 xml:space="preserve">To </w:t>
      </w:r>
      <w:proofErr w:type="spellStart"/>
      <w:r w:rsidRPr="00AF4655">
        <w:rPr>
          <w:rFonts w:ascii="Cambria" w:eastAsia="Times New Roman" w:hAnsi="Cambria" w:cs="Times New Roman"/>
          <w:sz w:val="20"/>
          <w:szCs w:val="20"/>
        </w:rPr>
        <w:t>analyze</w:t>
      </w:r>
      <w:proofErr w:type="spellEnd"/>
      <w:r w:rsidRPr="00AF4655">
        <w:rPr>
          <w:rFonts w:ascii="Cambria" w:eastAsia="Times New Roman" w:hAnsi="Cambria" w:cs="Times New Roman"/>
          <w:sz w:val="20"/>
          <w:szCs w:val="20"/>
        </w:rPr>
        <w:t xml:space="preserve"> contemporary technological developments influencing EMR scalability within </w:t>
      </w:r>
      <w:proofErr w:type="spellStart"/>
      <w:r w:rsidRPr="00AF4655">
        <w:rPr>
          <w:rFonts w:ascii="Cambria" w:eastAsia="Times New Roman" w:hAnsi="Cambria" w:cs="Times New Roman"/>
          <w:sz w:val="20"/>
          <w:szCs w:val="20"/>
        </w:rPr>
        <w:t>behavioral</w:t>
      </w:r>
      <w:proofErr w:type="spellEnd"/>
      <w:r w:rsidRPr="00AF4655">
        <w:rPr>
          <w:rFonts w:ascii="Cambria" w:eastAsia="Times New Roman" w:hAnsi="Cambria" w:cs="Times New Roman"/>
          <w:sz w:val="20"/>
          <w:szCs w:val="20"/>
        </w:rPr>
        <w:t xml:space="preserve"> healthcare environments.</w:t>
      </w:r>
    </w:p>
    <w:p w:rsidR="00AF4655" w:rsidRPr="00AF4655" w:rsidRDefault="00AF4655" w:rsidP="00402023">
      <w:pPr>
        <w:numPr>
          <w:ilvl w:val="0"/>
          <w:numId w:val="2"/>
        </w:num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To examine architectural approaches that support interoperability, flexibility, and performance optimization.</w:t>
      </w:r>
    </w:p>
    <w:p w:rsidR="00AF4655" w:rsidRPr="00AF4655" w:rsidRDefault="00AF4655" w:rsidP="00402023">
      <w:pPr>
        <w:numPr>
          <w:ilvl w:val="0"/>
          <w:numId w:val="2"/>
        </w:num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 xml:space="preserve">To identify critical design principles necessary for future-ready </w:t>
      </w:r>
      <w:proofErr w:type="spellStart"/>
      <w:r w:rsidRPr="00AF4655">
        <w:rPr>
          <w:rFonts w:ascii="Cambria" w:eastAsia="Times New Roman" w:hAnsi="Cambria" w:cs="Times New Roman"/>
          <w:sz w:val="20"/>
          <w:szCs w:val="20"/>
        </w:rPr>
        <w:t>behavioral</w:t>
      </w:r>
      <w:proofErr w:type="spellEnd"/>
      <w:r w:rsidRPr="00AF4655">
        <w:rPr>
          <w:rFonts w:ascii="Cambria" w:eastAsia="Times New Roman" w:hAnsi="Cambria" w:cs="Times New Roman"/>
          <w:sz w:val="20"/>
          <w:szCs w:val="20"/>
        </w:rPr>
        <w:t xml:space="preserve"> healthcare EMR systems.</w:t>
      </w:r>
    </w:p>
    <w:p w:rsidR="00AF4655" w:rsidRPr="00AF4655" w:rsidRDefault="00AF4655" w:rsidP="00402023">
      <w:pPr>
        <w:numPr>
          <w:ilvl w:val="0"/>
          <w:numId w:val="2"/>
        </w:num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To propose a robust architectural framework that integrates scalability, interoperability, security, and usability considerations.</w:t>
      </w:r>
    </w:p>
    <w:p w:rsidR="00AF4655" w:rsidRPr="00AF4655" w:rsidRDefault="00AF4655" w:rsidP="00AF4655">
      <w:pPr>
        <w:spacing w:before="100" w:beforeAutospacing="1" w:after="100" w:afterAutospacing="1" w:line="276" w:lineRule="auto"/>
        <w:jc w:val="both"/>
        <w:outlineLvl w:val="1"/>
        <w:rPr>
          <w:rFonts w:ascii="Cambria" w:eastAsia="Times New Roman" w:hAnsi="Cambria" w:cs="Times New Roman"/>
          <w:b/>
          <w:bCs/>
          <w:sz w:val="20"/>
          <w:szCs w:val="20"/>
        </w:rPr>
      </w:pPr>
      <w:r w:rsidRPr="00AF4655">
        <w:rPr>
          <w:rFonts w:ascii="Cambria" w:eastAsia="Times New Roman" w:hAnsi="Cambria" w:cs="Times New Roman"/>
          <w:b/>
          <w:bCs/>
          <w:sz w:val="20"/>
          <w:szCs w:val="20"/>
        </w:rPr>
        <w:t>1.4 Research Significance</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The significance of this research extends across multiple stakeholder groups. Healthcare organizations require scalable information systems capable of supporting growing service demands and digital transformation initiatives. Software developers need architectural guidance for designing adaptable healthcare platforms. Policymakers seek frameworks that facilitate interoperability and healthcare modernization. Researchers require theoretical models that explain relationships among scalability, usability, interoperability, and organizational performance.</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By synthesizing current evidence and proposing an integrated framework, this study contributes to both healthcare informatics theory and practical EMR implementation strategies.</w:t>
      </w:r>
    </w:p>
    <w:p w:rsidR="00AF4655" w:rsidRPr="00AF4655" w:rsidRDefault="00AF4655" w:rsidP="00AF4655">
      <w:pPr>
        <w:spacing w:before="100" w:beforeAutospacing="1" w:after="100" w:afterAutospacing="1" w:line="276" w:lineRule="auto"/>
        <w:jc w:val="both"/>
        <w:outlineLvl w:val="1"/>
        <w:rPr>
          <w:rFonts w:ascii="Cambria" w:eastAsia="Times New Roman" w:hAnsi="Cambria" w:cs="Times New Roman"/>
          <w:b/>
          <w:bCs/>
          <w:sz w:val="20"/>
          <w:szCs w:val="20"/>
        </w:rPr>
      </w:pPr>
      <w:r w:rsidRPr="00AF4655">
        <w:rPr>
          <w:rFonts w:ascii="Cambria" w:eastAsia="Times New Roman" w:hAnsi="Cambria" w:cs="Times New Roman"/>
          <w:b/>
          <w:bCs/>
          <w:sz w:val="20"/>
          <w:szCs w:val="20"/>
        </w:rPr>
        <w:t>1.5 Scope of the Study</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 xml:space="preserve">The study focuses specifically on architectural considerations for scalable EMR systems within </w:t>
      </w:r>
      <w:proofErr w:type="spellStart"/>
      <w:r w:rsidRPr="00AF4655">
        <w:rPr>
          <w:rFonts w:ascii="Cambria" w:eastAsia="Times New Roman" w:hAnsi="Cambria" w:cs="Times New Roman"/>
          <w:sz w:val="20"/>
          <w:szCs w:val="20"/>
        </w:rPr>
        <w:t>behavioral</w:t>
      </w:r>
      <w:proofErr w:type="spellEnd"/>
      <w:r w:rsidRPr="00AF4655">
        <w:rPr>
          <w:rFonts w:ascii="Cambria" w:eastAsia="Times New Roman" w:hAnsi="Cambria" w:cs="Times New Roman"/>
          <w:sz w:val="20"/>
          <w:szCs w:val="20"/>
        </w:rPr>
        <w:t xml:space="preserve"> healthcare environments. The analysis examines cloud-native architectures, microservices, </w:t>
      </w:r>
      <w:r w:rsidRPr="00AF4655">
        <w:rPr>
          <w:rFonts w:ascii="Cambria" w:eastAsia="Times New Roman" w:hAnsi="Cambria" w:cs="Times New Roman"/>
          <w:sz w:val="20"/>
          <w:szCs w:val="20"/>
        </w:rPr>
        <w:lastRenderedPageBreak/>
        <w:t>interoperability frameworks, usability factors, security requirements, and analytics integration. The investigation is limited to insights derived from the provided literature and does not incorporate external empirical datasets.</w:t>
      </w:r>
    </w:p>
    <w:p w:rsidR="00AF4655" w:rsidRPr="00AF4655" w:rsidRDefault="00AF4655" w:rsidP="00AF4655">
      <w:pPr>
        <w:spacing w:before="100" w:beforeAutospacing="1" w:after="100" w:afterAutospacing="1" w:line="276" w:lineRule="auto"/>
        <w:jc w:val="both"/>
        <w:outlineLvl w:val="0"/>
        <w:rPr>
          <w:rFonts w:ascii="Cambria" w:eastAsia="Times New Roman" w:hAnsi="Cambria" w:cs="Times New Roman"/>
          <w:b/>
          <w:bCs/>
          <w:kern w:val="36"/>
          <w:sz w:val="20"/>
          <w:szCs w:val="20"/>
        </w:rPr>
      </w:pPr>
      <w:r w:rsidRPr="00AF4655">
        <w:rPr>
          <w:rFonts w:ascii="Cambria" w:eastAsia="Times New Roman" w:hAnsi="Cambria" w:cs="Times New Roman"/>
          <w:b/>
          <w:bCs/>
          <w:kern w:val="36"/>
          <w:sz w:val="20"/>
          <w:szCs w:val="20"/>
        </w:rPr>
        <w:t>2. Literature Review</w:t>
      </w:r>
    </w:p>
    <w:p w:rsidR="00AF4655" w:rsidRPr="00AF4655" w:rsidRDefault="00AF4655" w:rsidP="00AF4655">
      <w:pPr>
        <w:spacing w:before="100" w:beforeAutospacing="1" w:after="100" w:afterAutospacing="1" w:line="276" w:lineRule="auto"/>
        <w:jc w:val="both"/>
        <w:outlineLvl w:val="1"/>
        <w:rPr>
          <w:rFonts w:ascii="Cambria" w:eastAsia="Times New Roman" w:hAnsi="Cambria" w:cs="Times New Roman"/>
          <w:b/>
          <w:bCs/>
          <w:sz w:val="20"/>
          <w:szCs w:val="20"/>
        </w:rPr>
      </w:pPr>
      <w:r w:rsidRPr="00AF4655">
        <w:rPr>
          <w:rFonts w:ascii="Cambria" w:eastAsia="Times New Roman" w:hAnsi="Cambria" w:cs="Times New Roman"/>
          <w:b/>
          <w:bCs/>
          <w:sz w:val="20"/>
          <w:szCs w:val="20"/>
        </w:rPr>
        <w:t>2.1 Evolution of Electronic Medical Record Systems</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Electronic Medical Records have evolved from simple digital repositories into complex healthcare information ecosystems. Early EMR implementations primarily focused on replacing paper-based documentation. Contemporary systems support clinical workflows, decision support, interoperability, analytics, telemedicine, and regulatory compliance functions (</w:t>
      </w:r>
      <w:proofErr w:type="spellStart"/>
      <w:r w:rsidRPr="00AF4655">
        <w:rPr>
          <w:rFonts w:ascii="Cambria" w:eastAsia="Times New Roman" w:hAnsi="Cambria" w:cs="Times New Roman"/>
          <w:sz w:val="20"/>
          <w:szCs w:val="20"/>
        </w:rPr>
        <w:t>Gopidasan</w:t>
      </w:r>
      <w:proofErr w:type="spellEnd"/>
      <w:r w:rsidRPr="00AF4655">
        <w:rPr>
          <w:rFonts w:ascii="Cambria" w:eastAsia="Times New Roman" w:hAnsi="Cambria" w:cs="Times New Roman"/>
          <w:sz w:val="20"/>
          <w:szCs w:val="20"/>
        </w:rPr>
        <w:t xml:space="preserve"> et al., 2022).</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Negro-</w:t>
      </w:r>
      <w:proofErr w:type="spellStart"/>
      <w:r w:rsidRPr="00AF4655">
        <w:rPr>
          <w:rFonts w:ascii="Cambria" w:eastAsia="Times New Roman" w:hAnsi="Cambria" w:cs="Times New Roman"/>
          <w:sz w:val="20"/>
          <w:szCs w:val="20"/>
        </w:rPr>
        <w:t>Calduch</w:t>
      </w:r>
      <w:proofErr w:type="spellEnd"/>
      <w:r w:rsidRPr="00AF4655">
        <w:rPr>
          <w:rFonts w:ascii="Cambria" w:eastAsia="Times New Roman" w:hAnsi="Cambria" w:cs="Times New Roman"/>
          <w:sz w:val="20"/>
          <w:szCs w:val="20"/>
        </w:rPr>
        <w:t xml:space="preserve"> et al. (2021) observed that EMR optimization efforts increasingly emphasize technological adaptability, interoperability, and organizational efficiency. Their systematic review highlighted the growing importance of integrated digital infrastructures capable of supporting dynamic healthcare environments.</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proofErr w:type="spellStart"/>
      <w:r w:rsidRPr="00AF4655">
        <w:rPr>
          <w:rFonts w:ascii="Cambria" w:eastAsia="Times New Roman" w:hAnsi="Cambria" w:cs="Times New Roman"/>
          <w:sz w:val="20"/>
          <w:szCs w:val="20"/>
        </w:rPr>
        <w:t>Behavioral</w:t>
      </w:r>
      <w:proofErr w:type="spellEnd"/>
      <w:r w:rsidRPr="00AF4655">
        <w:rPr>
          <w:rFonts w:ascii="Cambria" w:eastAsia="Times New Roman" w:hAnsi="Cambria" w:cs="Times New Roman"/>
          <w:sz w:val="20"/>
          <w:szCs w:val="20"/>
        </w:rPr>
        <w:t xml:space="preserve"> healthcare settings have experienced similar transformations. </w:t>
      </w:r>
      <w:proofErr w:type="spellStart"/>
      <w:r w:rsidRPr="00AF4655">
        <w:rPr>
          <w:rFonts w:ascii="Cambria" w:eastAsia="Times New Roman" w:hAnsi="Cambria" w:cs="Times New Roman"/>
          <w:sz w:val="20"/>
          <w:szCs w:val="20"/>
        </w:rPr>
        <w:t>Zurynski</w:t>
      </w:r>
      <w:proofErr w:type="spellEnd"/>
      <w:r w:rsidRPr="00AF4655">
        <w:rPr>
          <w:rFonts w:ascii="Cambria" w:eastAsia="Times New Roman" w:hAnsi="Cambria" w:cs="Times New Roman"/>
          <w:sz w:val="20"/>
          <w:szCs w:val="20"/>
        </w:rPr>
        <w:t xml:space="preserve"> et al. (2021) identified increasing adoption of EMR technologies within mental health organizations while noting challenges associated with workflow adaptation, clinician acceptance, and information accessibility.</w:t>
      </w:r>
    </w:p>
    <w:p w:rsidR="00AF4655" w:rsidRPr="00AF4655" w:rsidRDefault="00AF4655" w:rsidP="00AF4655">
      <w:pPr>
        <w:spacing w:before="100" w:beforeAutospacing="1" w:after="100" w:afterAutospacing="1" w:line="276" w:lineRule="auto"/>
        <w:jc w:val="both"/>
        <w:outlineLvl w:val="1"/>
        <w:rPr>
          <w:rFonts w:ascii="Cambria" w:eastAsia="Times New Roman" w:hAnsi="Cambria" w:cs="Times New Roman"/>
          <w:b/>
          <w:bCs/>
          <w:sz w:val="20"/>
          <w:szCs w:val="20"/>
        </w:rPr>
      </w:pPr>
      <w:r w:rsidRPr="00AF4655">
        <w:rPr>
          <w:rFonts w:ascii="Cambria" w:eastAsia="Times New Roman" w:hAnsi="Cambria" w:cs="Times New Roman"/>
          <w:b/>
          <w:bCs/>
          <w:sz w:val="20"/>
          <w:szCs w:val="20"/>
        </w:rPr>
        <w:t xml:space="preserve">2.2 </w:t>
      </w:r>
      <w:proofErr w:type="spellStart"/>
      <w:r w:rsidRPr="00AF4655">
        <w:rPr>
          <w:rFonts w:ascii="Cambria" w:eastAsia="Times New Roman" w:hAnsi="Cambria" w:cs="Times New Roman"/>
          <w:b/>
          <w:bCs/>
          <w:sz w:val="20"/>
          <w:szCs w:val="20"/>
        </w:rPr>
        <w:t>Behavioral</w:t>
      </w:r>
      <w:proofErr w:type="spellEnd"/>
      <w:r w:rsidRPr="00AF4655">
        <w:rPr>
          <w:rFonts w:ascii="Cambria" w:eastAsia="Times New Roman" w:hAnsi="Cambria" w:cs="Times New Roman"/>
          <w:b/>
          <w:bCs/>
          <w:sz w:val="20"/>
          <w:szCs w:val="20"/>
        </w:rPr>
        <w:t xml:space="preserve"> Healthcare Information Management Challenges</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proofErr w:type="spellStart"/>
      <w:r w:rsidRPr="00AF4655">
        <w:rPr>
          <w:rFonts w:ascii="Cambria" w:eastAsia="Times New Roman" w:hAnsi="Cambria" w:cs="Times New Roman"/>
          <w:sz w:val="20"/>
          <w:szCs w:val="20"/>
        </w:rPr>
        <w:t>Behavioral</w:t>
      </w:r>
      <w:proofErr w:type="spellEnd"/>
      <w:r w:rsidRPr="00AF4655">
        <w:rPr>
          <w:rFonts w:ascii="Cambria" w:eastAsia="Times New Roman" w:hAnsi="Cambria" w:cs="Times New Roman"/>
          <w:sz w:val="20"/>
          <w:szCs w:val="20"/>
        </w:rPr>
        <w:t xml:space="preserve"> healthcare differs significantly from many acute-care environments. Mental health treatment frequently involves long-term patient relationships, multidisciplinary intervention strategies, and extensive documentation requirements. These characteristics generate complex information management demands.</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proofErr w:type="spellStart"/>
      <w:r w:rsidRPr="00AF4655">
        <w:rPr>
          <w:rFonts w:ascii="Cambria" w:eastAsia="Times New Roman" w:hAnsi="Cambria" w:cs="Times New Roman"/>
          <w:sz w:val="20"/>
          <w:szCs w:val="20"/>
        </w:rPr>
        <w:t>Kariotis</w:t>
      </w:r>
      <w:proofErr w:type="spellEnd"/>
      <w:r w:rsidRPr="00AF4655">
        <w:rPr>
          <w:rFonts w:ascii="Cambria" w:eastAsia="Times New Roman" w:hAnsi="Cambria" w:cs="Times New Roman"/>
          <w:sz w:val="20"/>
          <w:szCs w:val="20"/>
        </w:rPr>
        <w:t xml:space="preserve"> et al. (2022) demonstrated that electronic health records substantially influence information practices within mental health settings. Their findings suggest that digital systems affect communication patterns, documentation processes, and clinical coordination activities. Effective </w:t>
      </w:r>
      <w:proofErr w:type="spellStart"/>
      <w:r w:rsidRPr="00AF4655">
        <w:rPr>
          <w:rFonts w:ascii="Cambria" w:eastAsia="Times New Roman" w:hAnsi="Cambria" w:cs="Times New Roman"/>
          <w:sz w:val="20"/>
          <w:szCs w:val="20"/>
        </w:rPr>
        <w:t>behavioral</w:t>
      </w:r>
      <w:proofErr w:type="spellEnd"/>
      <w:r w:rsidRPr="00AF4655">
        <w:rPr>
          <w:rFonts w:ascii="Cambria" w:eastAsia="Times New Roman" w:hAnsi="Cambria" w:cs="Times New Roman"/>
          <w:sz w:val="20"/>
          <w:szCs w:val="20"/>
        </w:rPr>
        <w:t xml:space="preserve"> health EMRs must therefore balance documentation rigor with workflow efficiency.</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 xml:space="preserve">Furthermore, predictive analytics applications are becoming increasingly relevant in </w:t>
      </w:r>
      <w:proofErr w:type="spellStart"/>
      <w:r w:rsidRPr="00AF4655">
        <w:rPr>
          <w:rFonts w:ascii="Cambria" w:eastAsia="Times New Roman" w:hAnsi="Cambria" w:cs="Times New Roman"/>
          <w:sz w:val="20"/>
          <w:szCs w:val="20"/>
        </w:rPr>
        <w:t>behavioral</w:t>
      </w:r>
      <w:proofErr w:type="spellEnd"/>
      <w:r w:rsidRPr="00AF4655">
        <w:rPr>
          <w:rFonts w:ascii="Cambria" w:eastAsia="Times New Roman" w:hAnsi="Cambria" w:cs="Times New Roman"/>
          <w:sz w:val="20"/>
          <w:szCs w:val="20"/>
        </w:rPr>
        <w:t xml:space="preserve"> healthcare. </w:t>
      </w:r>
      <w:proofErr w:type="spellStart"/>
      <w:r w:rsidRPr="00AF4655">
        <w:rPr>
          <w:rFonts w:ascii="Cambria" w:eastAsia="Times New Roman" w:hAnsi="Cambria" w:cs="Times New Roman"/>
          <w:sz w:val="20"/>
          <w:szCs w:val="20"/>
        </w:rPr>
        <w:t>Jagarlamudi</w:t>
      </w:r>
      <w:proofErr w:type="spellEnd"/>
      <w:r w:rsidRPr="00AF4655">
        <w:rPr>
          <w:rFonts w:ascii="Cambria" w:eastAsia="Times New Roman" w:hAnsi="Cambria" w:cs="Times New Roman"/>
          <w:sz w:val="20"/>
          <w:szCs w:val="20"/>
        </w:rPr>
        <w:t xml:space="preserve"> (2025) illustrated the potential of machine learning techniques for predicting opioid treatment program dropout using </w:t>
      </w:r>
      <w:proofErr w:type="spellStart"/>
      <w:r w:rsidRPr="00AF4655">
        <w:rPr>
          <w:rFonts w:ascii="Cambria" w:eastAsia="Times New Roman" w:hAnsi="Cambria" w:cs="Times New Roman"/>
          <w:sz w:val="20"/>
          <w:szCs w:val="20"/>
        </w:rPr>
        <w:t>behavioral</w:t>
      </w:r>
      <w:proofErr w:type="spellEnd"/>
      <w:r w:rsidRPr="00AF4655">
        <w:rPr>
          <w:rFonts w:ascii="Cambria" w:eastAsia="Times New Roman" w:hAnsi="Cambria" w:cs="Times New Roman"/>
          <w:sz w:val="20"/>
          <w:szCs w:val="20"/>
        </w:rPr>
        <w:t xml:space="preserve"> health EMR data. Such applications require scalable infrastructures capable of managing large datasets and computational workloads.</w:t>
      </w:r>
    </w:p>
    <w:p w:rsidR="00AF4655" w:rsidRPr="00AF4655" w:rsidRDefault="00AF4655" w:rsidP="00AF4655">
      <w:pPr>
        <w:spacing w:before="100" w:beforeAutospacing="1" w:after="100" w:afterAutospacing="1" w:line="276" w:lineRule="auto"/>
        <w:jc w:val="both"/>
        <w:outlineLvl w:val="1"/>
        <w:rPr>
          <w:rFonts w:ascii="Cambria" w:eastAsia="Times New Roman" w:hAnsi="Cambria" w:cs="Times New Roman"/>
          <w:b/>
          <w:bCs/>
          <w:sz w:val="20"/>
          <w:szCs w:val="20"/>
        </w:rPr>
      </w:pPr>
      <w:r w:rsidRPr="00AF4655">
        <w:rPr>
          <w:rFonts w:ascii="Cambria" w:eastAsia="Times New Roman" w:hAnsi="Cambria" w:cs="Times New Roman"/>
          <w:b/>
          <w:bCs/>
          <w:sz w:val="20"/>
          <w:szCs w:val="20"/>
        </w:rPr>
        <w:t>2.3 Microservices Architecture and Healthcare Scalability</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Microservices architecture has emerged as one of the most influential approaches for developing scalable healthcare applications. Unlike monolithic systems, microservices divide applications into independent functional services that communicate through standardized interfaces.</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proofErr w:type="spellStart"/>
      <w:r w:rsidRPr="00AF4655">
        <w:rPr>
          <w:rFonts w:ascii="Cambria" w:eastAsia="Times New Roman" w:hAnsi="Cambria" w:cs="Times New Roman"/>
          <w:sz w:val="20"/>
          <w:szCs w:val="20"/>
        </w:rPr>
        <w:t>Akerele</w:t>
      </w:r>
      <w:proofErr w:type="spellEnd"/>
      <w:r w:rsidRPr="00AF4655">
        <w:rPr>
          <w:rFonts w:ascii="Cambria" w:eastAsia="Times New Roman" w:hAnsi="Cambria" w:cs="Times New Roman"/>
          <w:sz w:val="20"/>
          <w:szCs w:val="20"/>
        </w:rPr>
        <w:t xml:space="preserve"> et al. (2024) demonstrated that microservices architecture significantly enhances healthcare application scalability through distributed service deployment and resource optimization. Their findings indicate that independent service scaling allows organizations to accommodate fluctuating workloads while improving system resilience. This perspective is particularly relevant for </w:t>
      </w:r>
      <w:proofErr w:type="spellStart"/>
      <w:r w:rsidRPr="00AF4655">
        <w:rPr>
          <w:rFonts w:ascii="Cambria" w:eastAsia="Times New Roman" w:hAnsi="Cambria" w:cs="Times New Roman"/>
          <w:sz w:val="20"/>
          <w:szCs w:val="20"/>
        </w:rPr>
        <w:t>behavioral</w:t>
      </w:r>
      <w:proofErr w:type="spellEnd"/>
      <w:r w:rsidRPr="00AF4655">
        <w:rPr>
          <w:rFonts w:ascii="Cambria" w:eastAsia="Times New Roman" w:hAnsi="Cambria" w:cs="Times New Roman"/>
          <w:sz w:val="20"/>
          <w:szCs w:val="20"/>
        </w:rPr>
        <w:t xml:space="preserve"> healthcare organizations experiencing variable patient volumes and increasing telehealth utilization.</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Similarly, Calderón-Gómez et al. (2021) evaluated service-oriented and microservice architectural patterns for eHealth deployment. Their analysis revealed that modular service structures improve maintainability, deployment flexibility, and operational efficiency. The study emphasized the importance of architectural decomposition in supporting cloud-based healthcare systems.</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proofErr w:type="spellStart"/>
      <w:r w:rsidRPr="00AF4655">
        <w:rPr>
          <w:rFonts w:ascii="Cambria" w:eastAsia="Times New Roman" w:hAnsi="Cambria" w:cs="Times New Roman"/>
          <w:sz w:val="20"/>
          <w:szCs w:val="20"/>
        </w:rPr>
        <w:t>Bathelt</w:t>
      </w:r>
      <w:proofErr w:type="spellEnd"/>
      <w:r w:rsidRPr="00AF4655">
        <w:rPr>
          <w:rFonts w:ascii="Cambria" w:eastAsia="Times New Roman" w:hAnsi="Cambria" w:cs="Times New Roman"/>
          <w:sz w:val="20"/>
          <w:szCs w:val="20"/>
        </w:rPr>
        <w:t xml:space="preserve"> et al. (2025) further reinforced the value of modular architectures within medical domains. Their scoping review highlighted how modular design principles facilitate system evolution, integration, and scalability. These findings support the argument that next-generation </w:t>
      </w:r>
      <w:proofErr w:type="spellStart"/>
      <w:r w:rsidRPr="00AF4655">
        <w:rPr>
          <w:rFonts w:ascii="Cambria" w:eastAsia="Times New Roman" w:hAnsi="Cambria" w:cs="Times New Roman"/>
          <w:sz w:val="20"/>
          <w:szCs w:val="20"/>
        </w:rPr>
        <w:t>behavioral</w:t>
      </w:r>
      <w:proofErr w:type="spellEnd"/>
      <w:r w:rsidRPr="00AF4655">
        <w:rPr>
          <w:rFonts w:ascii="Cambria" w:eastAsia="Times New Roman" w:hAnsi="Cambria" w:cs="Times New Roman"/>
          <w:sz w:val="20"/>
          <w:szCs w:val="20"/>
        </w:rPr>
        <w:t xml:space="preserve"> healthcare EMRs should prioritize architectural modularity as a foundational design principle.</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 xml:space="preserve">Importantly, </w:t>
      </w:r>
      <w:proofErr w:type="spellStart"/>
      <w:r w:rsidRPr="00AF4655">
        <w:rPr>
          <w:rFonts w:ascii="Cambria" w:eastAsia="Times New Roman" w:hAnsi="Cambria" w:cs="Times New Roman"/>
          <w:sz w:val="20"/>
          <w:szCs w:val="20"/>
        </w:rPr>
        <w:t>Akerele</w:t>
      </w:r>
      <w:proofErr w:type="spellEnd"/>
      <w:r w:rsidRPr="00AF4655">
        <w:rPr>
          <w:rFonts w:ascii="Cambria" w:eastAsia="Times New Roman" w:hAnsi="Cambria" w:cs="Times New Roman"/>
          <w:sz w:val="20"/>
          <w:szCs w:val="20"/>
        </w:rPr>
        <w:t xml:space="preserve"> et al. (2024) also emphasized that scalability should be viewed as an organizational capability rather than merely a technical attribute. Healthcare applications must scale across infrastructure, </w:t>
      </w:r>
      <w:r w:rsidRPr="00AF4655">
        <w:rPr>
          <w:rFonts w:ascii="Cambria" w:eastAsia="Times New Roman" w:hAnsi="Cambria" w:cs="Times New Roman"/>
          <w:sz w:val="20"/>
          <w:szCs w:val="20"/>
        </w:rPr>
        <w:lastRenderedPageBreak/>
        <w:t>data management, workflow coordination, and service delivery dimensions simultaneously.</w:t>
      </w:r>
    </w:p>
    <w:p w:rsidR="00AF4655" w:rsidRPr="00AF4655" w:rsidRDefault="00AF4655" w:rsidP="00AF4655">
      <w:pPr>
        <w:spacing w:before="100" w:beforeAutospacing="1" w:after="100" w:afterAutospacing="1" w:line="276" w:lineRule="auto"/>
        <w:jc w:val="both"/>
        <w:outlineLvl w:val="1"/>
        <w:rPr>
          <w:rFonts w:ascii="Cambria" w:eastAsia="Times New Roman" w:hAnsi="Cambria" w:cs="Times New Roman"/>
          <w:b/>
          <w:bCs/>
          <w:sz w:val="20"/>
          <w:szCs w:val="20"/>
        </w:rPr>
      </w:pPr>
      <w:r w:rsidRPr="00AF4655">
        <w:rPr>
          <w:rFonts w:ascii="Cambria" w:eastAsia="Times New Roman" w:hAnsi="Cambria" w:cs="Times New Roman"/>
          <w:b/>
          <w:bCs/>
          <w:sz w:val="20"/>
          <w:szCs w:val="20"/>
        </w:rPr>
        <w:t>2.4 Cloud-Native Healthcare Applications</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Cloud computing has transformed healthcare information system deployment strategies. Traditional on-premises infrastructures often impose limitations related to scalability, maintenance costs, and resource utilization. Cloud-native architectures address many of these limitations through elastic resource allocation and distributed computing capabilities.</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The literature on cloud-native healthcare applications suggests that healthcare organizations increasingly adopt cloud platforms to support digital transformation initiatives. Cloud-native deployment models facilitate rapid scaling, high availability, disaster recovery, and operational flexibility (Cloud-native applications in healthcare IT, 2025).</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 xml:space="preserve">Healthcare cloud adoption also introduces important security considerations. </w:t>
      </w:r>
      <w:proofErr w:type="spellStart"/>
      <w:r w:rsidRPr="00AF4655">
        <w:rPr>
          <w:rFonts w:ascii="Cambria" w:eastAsia="Times New Roman" w:hAnsi="Cambria" w:cs="Times New Roman"/>
          <w:sz w:val="20"/>
          <w:szCs w:val="20"/>
        </w:rPr>
        <w:t>Jagarlamudi</w:t>
      </w:r>
      <w:proofErr w:type="spellEnd"/>
      <w:r w:rsidRPr="00AF4655">
        <w:rPr>
          <w:rFonts w:ascii="Cambria" w:eastAsia="Times New Roman" w:hAnsi="Cambria" w:cs="Times New Roman"/>
          <w:sz w:val="20"/>
          <w:szCs w:val="20"/>
        </w:rPr>
        <w:t xml:space="preserve"> and </w:t>
      </w:r>
      <w:proofErr w:type="spellStart"/>
      <w:r w:rsidRPr="00AF4655">
        <w:rPr>
          <w:rFonts w:ascii="Cambria" w:eastAsia="Times New Roman" w:hAnsi="Cambria" w:cs="Times New Roman"/>
          <w:sz w:val="20"/>
          <w:szCs w:val="20"/>
        </w:rPr>
        <w:t>Pedarla</w:t>
      </w:r>
      <w:proofErr w:type="spellEnd"/>
      <w:r w:rsidRPr="00AF4655">
        <w:rPr>
          <w:rFonts w:ascii="Cambria" w:eastAsia="Times New Roman" w:hAnsi="Cambria" w:cs="Times New Roman"/>
          <w:sz w:val="20"/>
          <w:szCs w:val="20"/>
        </w:rPr>
        <w:t xml:space="preserve"> (2025) examined HIPAA-compliant EMR hosting practices and highlighted the importance of business associate agreements, encryption mechanisms, access controls, and governance frameworks. Their work underscores the necessity of integrating security architecture into scalable healthcare system design.</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 xml:space="preserve">The combination of cloud-native infrastructure and microservices architecture provides a powerful foundation for </w:t>
      </w:r>
      <w:proofErr w:type="spellStart"/>
      <w:r w:rsidRPr="00AF4655">
        <w:rPr>
          <w:rFonts w:ascii="Cambria" w:eastAsia="Times New Roman" w:hAnsi="Cambria" w:cs="Times New Roman"/>
          <w:sz w:val="20"/>
          <w:szCs w:val="20"/>
        </w:rPr>
        <w:t>behavioral</w:t>
      </w:r>
      <w:proofErr w:type="spellEnd"/>
      <w:r w:rsidRPr="00AF4655">
        <w:rPr>
          <w:rFonts w:ascii="Cambria" w:eastAsia="Times New Roman" w:hAnsi="Cambria" w:cs="Times New Roman"/>
          <w:sz w:val="20"/>
          <w:szCs w:val="20"/>
        </w:rPr>
        <w:t xml:space="preserve"> healthcare EMR modernization. By enabling independent service deployment and elastic resource management, these technologies create opportunities for sustained scalability and innovation.</w:t>
      </w:r>
    </w:p>
    <w:p w:rsidR="00AF4655" w:rsidRPr="00AF4655" w:rsidRDefault="00AF4655" w:rsidP="00AF4655">
      <w:pPr>
        <w:spacing w:before="100" w:beforeAutospacing="1" w:after="100" w:afterAutospacing="1" w:line="276" w:lineRule="auto"/>
        <w:jc w:val="both"/>
        <w:outlineLvl w:val="1"/>
        <w:rPr>
          <w:rFonts w:ascii="Cambria" w:eastAsia="Times New Roman" w:hAnsi="Cambria" w:cs="Times New Roman"/>
          <w:b/>
          <w:bCs/>
          <w:sz w:val="20"/>
          <w:szCs w:val="20"/>
        </w:rPr>
      </w:pPr>
      <w:r w:rsidRPr="00AF4655">
        <w:rPr>
          <w:rFonts w:ascii="Cambria" w:eastAsia="Times New Roman" w:hAnsi="Cambria" w:cs="Times New Roman"/>
          <w:b/>
          <w:bCs/>
          <w:sz w:val="20"/>
          <w:szCs w:val="20"/>
        </w:rPr>
        <w:t>2.5 Interoperability and FHIR Standards</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One of the most persistent challenges in healthcare informatics is interoperability. Healthcare organizations frequently operate heterogeneous systems that struggle to exchange information efficiently. Poor interoperability contributes to fragmented care, duplicated documentation, delayed decision-making, and reduced operational effectiveness.</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 xml:space="preserve">Anand et al. (2023) explored electronic health record interoperability using FHIR and blockchain technologies. Their bibliometric analysis demonstrated growing academic and industry interest in standards-based data </w:t>
      </w:r>
      <w:r w:rsidRPr="00AF4655">
        <w:rPr>
          <w:rFonts w:ascii="Cambria" w:eastAsia="Times New Roman" w:hAnsi="Cambria" w:cs="Times New Roman"/>
          <w:sz w:val="20"/>
          <w:szCs w:val="20"/>
        </w:rPr>
        <w:t>exchange mechanisms. The study identified interoperability as a central requirement for future healthcare information ecosystems.</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proofErr w:type="spellStart"/>
      <w:r w:rsidRPr="00AF4655">
        <w:rPr>
          <w:rFonts w:ascii="Cambria" w:eastAsia="Times New Roman" w:hAnsi="Cambria" w:cs="Times New Roman"/>
          <w:sz w:val="20"/>
          <w:szCs w:val="20"/>
        </w:rPr>
        <w:t>Pimenta</w:t>
      </w:r>
      <w:proofErr w:type="spellEnd"/>
      <w:r w:rsidRPr="00AF4655">
        <w:rPr>
          <w:rFonts w:ascii="Cambria" w:eastAsia="Times New Roman" w:hAnsi="Cambria" w:cs="Times New Roman"/>
          <w:sz w:val="20"/>
          <w:szCs w:val="20"/>
        </w:rPr>
        <w:t xml:space="preserve"> et al. (2023) similarly emphasized the importance of FHIR in enabling standardized clinical data exchange. Their review highlighted how FHIR supports flexible integration across diverse healthcare platforms while reducing technical complexity.</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proofErr w:type="spellStart"/>
      <w:r w:rsidRPr="00AF4655">
        <w:rPr>
          <w:rFonts w:ascii="Cambria" w:eastAsia="Times New Roman" w:hAnsi="Cambria" w:cs="Times New Roman"/>
          <w:sz w:val="20"/>
          <w:szCs w:val="20"/>
        </w:rPr>
        <w:t>Vorisek</w:t>
      </w:r>
      <w:proofErr w:type="spellEnd"/>
      <w:r w:rsidRPr="00AF4655">
        <w:rPr>
          <w:rFonts w:ascii="Cambria" w:eastAsia="Times New Roman" w:hAnsi="Cambria" w:cs="Times New Roman"/>
          <w:sz w:val="20"/>
          <w:szCs w:val="20"/>
        </w:rPr>
        <w:t xml:space="preserve"> (2022) and Tabari (2024) further documented the evolution of FHIR as a foundational interoperability standard. Both studies recognized FHIR's ability to facilitate structured, shareable, and interoperable clinical information. For </w:t>
      </w:r>
      <w:proofErr w:type="spellStart"/>
      <w:r w:rsidRPr="00AF4655">
        <w:rPr>
          <w:rFonts w:ascii="Cambria" w:eastAsia="Times New Roman" w:hAnsi="Cambria" w:cs="Times New Roman"/>
          <w:sz w:val="20"/>
          <w:szCs w:val="20"/>
        </w:rPr>
        <w:t>behavioral</w:t>
      </w:r>
      <w:proofErr w:type="spellEnd"/>
      <w:r w:rsidRPr="00AF4655">
        <w:rPr>
          <w:rFonts w:ascii="Cambria" w:eastAsia="Times New Roman" w:hAnsi="Cambria" w:cs="Times New Roman"/>
          <w:sz w:val="20"/>
          <w:szCs w:val="20"/>
        </w:rPr>
        <w:t xml:space="preserve"> healthcare organizations, FHIR adoption offers opportunities to enhance care coordination, telehealth integration, and data-driven decision-making.</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proofErr w:type="spellStart"/>
      <w:r w:rsidRPr="00AF4655">
        <w:rPr>
          <w:rFonts w:ascii="Cambria" w:eastAsia="Times New Roman" w:hAnsi="Cambria" w:cs="Times New Roman"/>
          <w:sz w:val="20"/>
          <w:szCs w:val="20"/>
        </w:rPr>
        <w:t>Torab-Miandoab</w:t>
      </w:r>
      <w:proofErr w:type="spellEnd"/>
      <w:r w:rsidRPr="00AF4655">
        <w:rPr>
          <w:rFonts w:ascii="Cambria" w:eastAsia="Times New Roman" w:hAnsi="Cambria" w:cs="Times New Roman"/>
          <w:sz w:val="20"/>
          <w:szCs w:val="20"/>
        </w:rPr>
        <w:t xml:space="preserve"> et al. (2023) identified interoperability challenges arising from heterogeneous health information systems. Their systematic review revealed that technical, organizational, and governance barriers continue to impede seamless information exchange despite advances in interoperability standards.</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 xml:space="preserve">Consequently, scalable </w:t>
      </w:r>
      <w:proofErr w:type="spellStart"/>
      <w:r w:rsidRPr="00AF4655">
        <w:rPr>
          <w:rFonts w:ascii="Cambria" w:eastAsia="Times New Roman" w:hAnsi="Cambria" w:cs="Times New Roman"/>
          <w:sz w:val="20"/>
          <w:szCs w:val="20"/>
        </w:rPr>
        <w:t>behavioral</w:t>
      </w:r>
      <w:proofErr w:type="spellEnd"/>
      <w:r w:rsidRPr="00AF4655">
        <w:rPr>
          <w:rFonts w:ascii="Cambria" w:eastAsia="Times New Roman" w:hAnsi="Cambria" w:cs="Times New Roman"/>
          <w:sz w:val="20"/>
          <w:szCs w:val="20"/>
        </w:rPr>
        <w:t xml:space="preserve"> healthcare EMRs must incorporate interoperability as a core architectural component rather than an optional enhancement.</w:t>
      </w:r>
    </w:p>
    <w:p w:rsidR="00AF4655" w:rsidRPr="00AF4655" w:rsidRDefault="00AF4655" w:rsidP="00AF4655">
      <w:pPr>
        <w:spacing w:before="100" w:beforeAutospacing="1" w:after="100" w:afterAutospacing="1" w:line="276" w:lineRule="auto"/>
        <w:jc w:val="both"/>
        <w:outlineLvl w:val="1"/>
        <w:rPr>
          <w:rFonts w:ascii="Cambria" w:eastAsia="Times New Roman" w:hAnsi="Cambria" w:cs="Times New Roman"/>
          <w:b/>
          <w:bCs/>
          <w:sz w:val="20"/>
          <w:szCs w:val="20"/>
        </w:rPr>
      </w:pPr>
      <w:r w:rsidRPr="00AF4655">
        <w:rPr>
          <w:rFonts w:ascii="Cambria" w:eastAsia="Times New Roman" w:hAnsi="Cambria" w:cs="Times New Roman"/>
          <w:b/>
          <w:bCs/>
          <w:sz w:val="20"/>
          <w:szCs w:val="20"/>
        </w:rPr>
        <w:t>2.6 Usability and Human Factors</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Technical scalability alone does not guarantee successful EMR implementation. Clinician experience and usability significantly influence adoption outcomes, workflow efficiency, and healthcare quality.</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r w:rsidRPr="00AF4655">
        <w:rPr>
          <w:rFonts w:ascii="Cambria" w:eastAsia="Times New Roman" w:hAnsi="Cambria" w:cs="Times New Roman"/>
          <w:sz w:val="20"/>
          <w:szCs w:val="20"/>
        </w:rPr>
        <w:t>Holmgren et al. (2024) investigated electronic health record usability, physician satisfaction, and burnout. Their findings revealed important relationships between system design quality and clinician well-being. Poorly designed interfaces can increase documentation burden and contribute to professional dissatisfaction.</w:t>
      </w:r>
    </w:p>
    <w:p w:rsidR="00AF4655" w:rsidRPr="00AF4655" w:rsidRDefault="00AF4655" w:rsidP="00AF4655">
      <w:pPr>
        <w:spacing w:before="100" w:beforeAutospacing="1" w:after="100" w:afterAutospacing="1" w:line="276" w:lineRule="auto"/>
        <w:jc w:val="both"/>
        <w:rPr>
          <w:rFonts w:ascii="Cambria" w:eastAsia="Times New Roman" w:hAnsi="Cambria" w:cs="Times New Roman"/>
          <w:sz w:val="20"/>
          <w:szCs w:val="20"/>
        </w:rPr>
      </w:pPr>
      <w:proofErr w:type="spellStart"/>
      <w:r w:rsidRPr="00AF4655">
        <w:rPr>
          <w:rFonts w:ascii="Cambria" w:eastAsia="Times New Roman" w:hAnsi="Cambria" w:cs="Times New Roman"/>
          <w:sz w:val="20"/>
          <w:szCs w:val="20"/>
        </w:rPr>
        <w:t>Behavioral</w:t>
      </w:r>
      <w:proofErr w:type="spellEnd"/>
      <w:r w:rsidRPr="00AF4655">
        <w:rPr>
          <w:rFonts w:ascii="Cambria" w:eastAsia="Times New Roman" w:hAnsi="Cambria" w:cs="Times New Roman"/>
          <w:sz w:val="20"/>
          <w:szCs w:val="20"/>
        </w:rPr>
        <w:t xml:space="preserve"> healthcare environments often require extensive narrative documentation and interdisciplinary collaboration. Therefore, usability considerations become particularly important when designing scalable EMR architectures. Systems must support efficient information access, intuitive workflows, and minimal cognitive burden while maintaining regulatory compliance.</w:t>
      </w:r>
    </w:p>
    <w:p w:rsidR="00AF4655" w:rsidRPr="00AF4655" w:rsidRDefault="00AF4655" w:rsidP="00AF4655">
      <w:pPr>
        <w:pStyle w:val="Heading1"/>
        <w:spacing w:line="276" w:lineRule="auto"/>
        <w:jc w:val="both"/>
        <w:rPr>
          <w:rFonts w:ascii="Cambria" w:hAnsi="Cambria"/>
          <w:sz w:val="20"/>
          <w:szCs w:val="20"/>
        </w:rPr>
      </w:pPr>
      <w:r w:rsidRPr="00AF4655">
        <w:rPr>
          <w:rFonts w:ascii="Cambria" w:hAnsi="Cambria"/>
          <w:sz w:val="20"/>
          <w:szCs w:val="20"/>
        </w:rPr>
        <w:lastRenderedPageBreak/>
        <w:t>3. Methodology</w:t>
      </w:r>
    </w:p>
    <w:p w:rsidR="00AF4655" w:rsidRPr="00AF4655" w:rsidRDefault="00AF4655" w:rsidP="00AF4655">
      <w:pPr>
        <w:pStyle w:val="Heading2"/>
        <w:spacing w:line="276" w:lineRule="auto"/>
        <w:jc w:val="both"/>
        <w:rPr>
          <w:rFonts w:ascii="Cambria" w:hAnsi="Cambria"/>
          <w:b/>
          <w:bCs/>
          <w:sz w:val="20"/>
          <w:szCs w:val="20"/>
        </w:rPr>
      </w:pPr>
      <w:r w:rsidRPr="00AF4655">
        <w:rPr>
          <w:rFonts w:ascii="Cambria" w:hAnsi="Cambria"/>
          <w:b/>
          <w:bCs/>
          <w:color w:val="000000" w:themeColor="text1"/>
          <w:sz w:val="20"/>
          <w:szCs w:val="20"/>
        </w:rPr>
        <w:t>3.1 Research Design</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This study adopts a research-review methodology combined with conceptual framework development. Rather than collecting primary empirical data, the investigation synthesizes findings from existing literature related to healthcare scalability, microservices architecture, cloud-native computing, interoperability standards, behavioral health informatics, EMR usability, and healthcare cybersecurity. The objective is to transform fragmented technological knowledge into a unified architectural framework specifically designed for next-generation behavioral healthcare environments.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methodological approach consists of four stages. First, relevant literature is analyzed to identify recurring architectural principles associated with scalability and healthcare system modernization. Second, common technological challenges affecting behavioral healthcare EMRs are examined. Third, architectural components capable of addressing these challenges are mapped into a layered framework. Finally, relationships among scalability, interoperability, security, usability, and analytics capabilities are evaluated to construct an integrated model.</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 xml:space="preserve">This approach aligns with the architectural review methods discussed by </w:t>
      </w:r>
      <w:proofErr w:type="spellStart"/>
      <w:r w:rsidRPr="00AF4655">
        <w:rPr>
          <w:rFonts w:ascii="Cambria" w:hAnsi="Cambria"/>
          <w:sz w:val="20"/>
          <w:szCs w:val="20"/>
        </w:rPr>
        <w:t>Bathelt</w:t>
      </w:r>
      <w:proofErr w:type="spellEnd"/>
      <w:r w:rsidRPr="00AF4655">
        <w:rPr>
          <w:rFonts w:ascii="Cambria" w:hAnsi="Cambria"/>
          <w:sz w:val="20"/>
          <w:szCs w:val="20"/>
        </w:rPr>
        <w:t xml:space="preserve"> et al. (2025) and Negro-</w:t>
      </w:r>
      <w:proofErr w:type="spellStart"/>
      <w:r w:rsidRPr="00AF4655">
        <w:rPr>
          <w:rFonts w:ascii="Cambria" w:hAnsi="Cambria"/>
          <w:sz w:val="20"/>
          <w:szCs w:val="20"/>
        </w:rPr>
        <w:t>Calduch</w:t>
      </w:r>
      <w:proofErr w:type="spellEnd"/>
      <w:r w:rsidRPr="00AF4655">
        <w:rPr>
          <w:rFonts w:ascii="Cambria" w:hAnsi="Cambria"/>
          <w:sz w:val="20"/>
          <w:szCs w:val="20"/>
        </w:rPr>
        <w:t xml:space="preserve"> et al. (2021), who emphasize the value of synthesizing technological evidence to guide healthcare system design and optimization.</w:t>
      </w:r>
    </w:p>
    <w:p w:rsidR="00AF4655" w:rsidRPr="00AF4655" w:rsidRDefault="00AF4655" w:rsidP="00AF4655">
      <w:pPr>
        <w:pStyle w:val="Heading2"/>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 xml:space="preserve">3.2 Architectural Requirements for </w:t>
      </w:r>
      <w:proofErr w:type="spellStart"/>
      <w:r w:rsidRPr="00AF4655">
        <w:rPr>
          <w:rFonts w:ascii="Cambria" w:hAnsi="Cambria"/>
          <w:b/>
          <w:bCs/>
          <w:color w:val="000000" w:themeColor="text1"/>
          <w:sz w:val="20"/>
          <w:szCs w:val="20"/>
        </w:rPr>
        <w:t>Behavioral</w:t>
      </w:r>
      <w:proofErr w:type="spellEnd"/>
      <w:r w:rsidRPr="00AF4655">
        <w:rPr>
          <w:rFonts w:ascii="Cambria" w:hAnsi="Cambria"/>
          <w:b/>
          <w:bCs/>
          <w:color w:val="000000" w:themeColor="text1"/>
          <w:sz w:val="20"/>
          <w:szCs w:val="20"/>
        </w:rPr>
        <w:t xml:space="preserve"> Healthcare EMRs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literature reveals several critical requirements that a next-generation behavioral healthcare EMR must satisfy.</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Scalability</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Behavioral healthcare organizations increasingly manage larger patient populations, telehealth interactions, mobile applications, and analytics workloads. Consequently, systems must support horizontal and vertical scaling without compromising performance. Microservices-based architectures have demonstrated substantial benefits in achieving this objective (</w:t>
      </w:r>
      <w:proofErr w:type="spellStart"/>
      <w:r w:rsidRPr="00AF4655">
        <w:rPr>
          <w:rFonts w:ascii="Cambria" w:hAnsi="Cambria"/>
          <w:sz w:val="20"/>
          <w:szCs w:val="20"/>
        </w:rPr>
        <w:t>Akerele</w:t>
      </w:r>
      <w:proofErr w:type="spellEnd"/>
      <w:r w:rsidRPr="00AF4655">
        <w:rPr>
          <w:rFonts w:ascii="Cambria" w:hAnsi="Cambria"/>
          <w:sz w:val="20"/>
          <w:szCs w:val="20"/>
        </w:rPr>
        <w:t xml:space="preserve"> et al., 2024).</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Interoperability</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 xml:space="preserve">Modern healthcare delivery depends on information exchange among hospitals, behavioral health providers, laboratories, pharmacies, insurers, and public health agencies. FHIR-based interoperability has emerged as the dominant strategy for supporting such interactions (Tabari, 2024; </w:t>
      </w:r>
      <w:proofErr w:type="spellStart"/>
      <w:r w:rsidRPr="00AF4655">
        <w:rPr>
          <w:rFonts w:ascii="Cambria" w:hAnsi="Cambria"/>
          <w:sz w:val="20"/>
          <w:szCs w:val="20"/>
        </w:rPr>
        <w:t>Vorisek</w:t>
      </w:r>
      <w:proofErr w:type="spellEnd"/>
      <w:r w:rsidRPr="00AF4655">
        <w:rPr>
          <w:rFonts w:ascii="Cambria" w:hAnsi="Cambria"/>
          <w:sz w:val="20"/>
          <w:szCs w:val="20"/>
        </w:rPr>
        <w:t>, 2022).</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Security and Compliance</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Behavioral health records contain highly sensitive information requiring rigorous protection. Security controls must address confidentiality, integrity, availability, access management, auditability, and regulatory compliance (</w:t>
      </w:r>
      <w:proofErr w:type="spellStart"/>
      <w:r w:rsidRPr="00AF4655">
        <w:rPr>
          <w:rFonts w:ascii="Cambria" w:hAnsi="Cambria"/>
          <w:sz w:val="20"/>
          <w:szCs w:val="20"/>
        </w:rPr>
        <w:t>Jagarlamudi</w:t>
      </w:r>
      <w:proofErr w:type="spellEnd"/>
      <w:r w:rsidRPr="00AF4655">
        <w:rPr>
          <w:rFonts w:ascii="Cambria" w:hAnsi="Cambria"/>
          <w:sz w:val="20"/>
          <w:szCs w:val="20"/>
        </w:rPr>
        <w:t xml:space="preserve"> &amp; </w:t>
      </w:r>
      <w:proofErr w:type="spellStart"/>
      <w:r w:rsidRPr="00AF4655">
        <w:rPr>
          <w:rFonts w:ascii="Cambria" w:hAnsi="Cambria"/>
          <w:sz w:val="20"/>
          <w:szCs w:val="20"/>
        </w:rPr>
        <w:t>Pedarla</w:t>
      </w:r>
      <w:proofErr w:type="spellEnd"/>
      <w:r w:rsidRPr="00AF4655">
        <w:rPr>
          <w:rFonts w:ascii="Cambria" w:hAnsi="Cambria"/>
          <w:sz w:val="20"/>
          <w:szCs w:val="20"/>
        </w:rPr>
        <w:t>, 2025).</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Usability</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Healthcare professionals frequently experience documentation burden associated with EMR usage. Systems must therefore support intuitive workflows that enhance productivity and reduce cognitive overload (Holmgren et al., 2024).</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Analytics Readiness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Future healthcare environments increasingly rely on predictive analytics and machine learning models. Scalable EMRs should therefore support data aggregation, analytical processing, and decision-support applications (</w:t>
      </w:r>
      <w:proofErr w:type="spellStart"/>
      <w:r w:rsidRPr="00AF4655">
        <w:rPr>
          <w:rFonts w:ascii="Cambria" w:hAnsi="Cambria"/>
          <w:sz w:val="20"/>
          <w:szCs w:val="20"/>
        </w:rPr>
        <w:t>Jagarlamudi</w:t>
      </w:r>
      <w:proofErr w:type="spellEnd"/>
      <w:r w:rsidRPr="00AF4655">
        <w:rPr>
          <w:rFonts w:ascii="Cambria" w:hAnsi="Cambria"/>
          <w:sz w:val="20"/>
          <w:szCs w:val="20"/>
        </w:rPr>
        <w:t>, 2025).</w:t>
      </w:r>
    </w:p>
    <w:p w:rsidR="00AF4655" w:rsidRPr="00AF4655" w:rsidRDefault="00AF4655" w:rsidP="00AF4655">
      <w:pPr>
        <w:pStyle w:val="Heading1"/>
        <w:spacing w:line="276" w:lineRule="auto"/>
        <w:jc w:val="both"/>
        <w:rPr>
          <w:rFonts w:ascii="Cambria" w:hAnsi="Cambria"/>
          <w:sz w:val="20"/>
          <w:szCs w:val="20"/>
        </w:rPr>
      </w:pPr>
      <w:r w:rsidRPr="00AF4655">
        <w:rPr>
          <w:rFonts w:ascii="Cambria" w:hAnsi="Cambria"/>
          <w:sz w:val="20"/>
          <w:szCs w:val="20"/>
        </w:rPr>
        <w:t xml:space="preserve">3.3 Proposed Robust Framework for Scalable </w:t>
      </w:r>
      <w:proofErr w:type="spellStart"/>
      <w:r w:rsidRPr="00AF4655">
        <w:rPr>
          <w:rFonts w:ascii="Cambria" w:hAnsi="Cambria"/>
          <w:sz w:val="20"/>
          <w:szCs w:val="20"/>
        </w:rPr>
        <w:t>Behavioral</w:t>
      </w:r>
      <w:proofErr w:type="spellEnd"/>
      <w:r w:rsidRPr="00AF4655">
        <w:rPr>
          <w:rFonts w:ascii="Cambria" w:hAnsi="Cambria"/>
          <w:sz w:val="20"/>
          <w:szCs w:val="20"/>
        </w:rPr>
        <w:t xml:space="preserve"> Healthcare EMRs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Based on the literature synthesis, this study proposes a six-layer architectural framework designed to support scalability, interoperability, security, and future technological evolution.</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framework consists of:</w:t>
      </w:r>
    </w:p>
    <w:p w:rsidR="00AF4655" w:rsidRPr="00AF4655" w:rsidRDefault="00AF4655" w:rsidP="00402023">
      <w:pPr>
        <w:numPr>
          <w:ilvl w:val="0"/>
          <w:numId w:val="3"/>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User Interaction Layer</w:t>
      </w:r>
    </w:p>
    <w:p w:rsidR="00AF4655" w:rsidRPr="00AF4655" w:rsidRDefault="00AF4655" w:rsidP="00402023">
      <w:pPr>
        <w:numPr>
          <w:ilvl w:val="0"/>
          <w:numId w:val="3"/>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Clinical Services Layer</w:t>
      </w:r>
    </w:p>
    <w:p w:rsidR="00AF4655" w:rsidRPr="00AF4655" w:rsidRDefault="00AF4655" w:rsidP="00402023">
      <w:pPr>
        <w:numPr>
          <w:ilvl w:val="0"/>
          <w:numId w:val="3"/>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Interoperability Layer</w:t>
      </w:r>
    </w:p>
    <w:p w:rsidR="00AF4655" w:rsidRPr="00AF4655" w:rsidRDefault="00AF4655" w:rsidP="00402023">
      <w:pPr>
        <w:numPr>
          <w:ilvl w:val="0"/>
          <w:numId w:val="3"/>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Data Management Layer</w:t>
      </w:r>
    </w:p>
    <w:p w:rsidR="00AF4655" w:rsidRPr="00AF4655" w:rsidRDefault="00AF4655" w:rsidP="00402023">
      <w:pPr>
        <w:numPr>
          <w:ilvl w:val="0"/>
          <w:numId w:val="3"/>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Cloud Infrastructure Layer</w:t>
      </w:r>
    </w:p>
    <w:p w:rsidR="00AF4655" w:rsidRPr="00AF4655" w:rsidRDefault="00AF4655" w:rsidP="00402023">
      <w:pPr>
        <w:numPr>
          <w:ilvl w:val="0"/>
          <w:numId w:val="3"/>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Governance and Security Layer</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lastRenderedPageBreak/>
        <w:t>Each layer performs distinct functions while maintaining integration through standardized interfaces.</w:t>
      </w:r>
    </w:p>
    <w:p w:rsidR="00AF4655" w:rsidRPr="00AF4655" w:rsidRDefault="00AF4655" w:rsidP="00AF4655">
      <w:pPr>
        <w:spacing w:line="276" w:lineRule="auto"/>
        <w:jc w:val="both"/>
        <w:rPr>
          <w:rFonts w:ascii="Cambria" w:hAnsi="Cambria"/>
          <w:sz w:val="20"/>
          <w:szCs w:val="20"/>
        </w:rPr>
      </w:pPr>
    </w:p>
    <w:p w:rsidR="00AF4655" w:rsidRPr="00AF4655" w:rsidRDefault="00AF4655" w:rsidP="00AF4655">
      <w:pPr>
        <w:pStyle w:val="Heading2"/>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3.4 User Interaction Layer</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User Interaction Layer serves as the primary interface between healthcare professionals and the EMR platform.</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Core Functions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layer supports:</w:t>
      </w:r>
    </w:p>
    <w:p w:rsidR="00AF4655" w:rsidRPr="00AF4655" w:rsidRDefault="00AF4655" w:rsidP="00402023">
      <w:pPr>
        <w:numPr>
          <w:ilvl w:val="0"/>
          <w:numId w:val="4"/>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Clinical documentation</w:t>
      </w:r>
    </w:p>
    <w:p w:rsidR="00AF4655" w:rsidRPr="00AF4655" w:rsidRDefault="00AF4655" w:rsidP="00402023">
      <w:pPr>
        <w:numPr>
          <w:ilvl w:val="0"/>
          <w:numId w:val="4"/>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Treatment planning</w:t>
      </w:r>
    </w:p>
    <w:p w:rsidR="00AF4655" w:rsidRPr="00AF4655" w:rsidRDefault="00AF4655" w:rsidP="00402023">
      <w:pPr>
        <w:numPr>
          <w:ilvl w:val="0"/>
          <w:numId w:val="4"/>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Medication management</w:t>
      </w:r>
    </w:p>
    <w:p w:rsidR="00AF4655" w:rsidRPr="00AF4655" w:rsidRDefault="00AF4655" w:rsidP="00402023">
      <w:pPr>
        <w:numPr>
          <w:ilvl w:val="0"/>
          <w:numId w:val="4"/>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Appointment scheduling</w:t>
      </w:r>
    </w:p>
    <w:p w:rsidR="00AF4655" w:rsidRPr="00AF4655" w:rsidRDefault="00AF4655" w:rsidP="00402023">
      <w:pPr>
        <w:numPr>
          <w:ilvl w:val="0"/>
          <w:numId w:val="4"/>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Telehealth access</w:t>
      </w:r>
    </w:p>
    <w:p w:rsidR="00AF4655" w:rsidRPr="00AF4655" w:rsidRDefault="00AF4655" w:rsidP="00402023">
      <w:pPr>
        <w:numPr>
          <w:ilvl w:val="0"/>
          <w:numId w:val="4"/>
        </w:numPr>
        <w:spacing w:before="100" w:beforeAutospacing="1" w:after="100" w:afterAutospacing="1" w:line="276" w:lineRule="auto"/>
        <w:jc w:val="both"/>
        <w:rPr>
          <w:rFonts w:ascii="Cambria" w:hAnsi="Cambria"/>
          <w:sz w:val="20"/>
          <w:szCs w:val="20"/>
        </w:rPr>
      </w:pPr>
      <w:proofErr w:type="spellStart"/>
      <w:r w:rsidRPr="00AF4655">
        <w:rPr>
          <w:rFonts w:ascii="Cambria" w:hAnsi="Cambria"/>
          <w:sz w:val="20"/>
          <w:szCs w:val="20"/>
        </w:rPr>
        <w:t>Behavioral</w:t>
      </w:r>
      <w:proofErr w:type="spellEnd"/>
      <w:r w:rsidRPr="00AF4655">
        <w:rPr>
          <w:rFonts w:ascii="Cambria" w:hAnsi="Cambria"/>
          <w:sz w:val="20"/>
          <w:szCs w:val="20"/>
        </w:rPr>
        <w:t xml:space="preserve"> assessments</w:t>
      </w:r>
    </w:p>
    <w:p w:rsidR="00AF4655" w:rsidRPr="00AF4655" w:rsidRDefault="00AF4655" w:rsidP="00402023">
      <w:pPr>
        <w:numPr>
          <w:ilvl w:val="0"/>
          <w:numId w:val="4"/>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Reporting dashboards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Behavioral healthcare environments require interfaces capable of managing complex narrative documentation while minimizing clinician burden. Holmgren et al. (2024) demonstrated that usability directly influences clinician satisfaction and burnout levels. Consequently, interface design becomes a strategic component of system scalability because poor usability reduces operational efficiency even when technical infrastructure remains adequate.</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Design Principles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proposed framework incorporates:</w:t>
      </w:r>
    </w:p>
    <w:p w:rsidR="00AF4655" w:rsidRPr="00AF4655" w:rsidRDefault="00AF4655" w:rsidP="00402023">
      <w:pPr>
        <w:numPr>
          <w:ilvl w:val="0"/>
          <w:numId w:val="5"/>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Role-based dashboards</w:t>
      </w:r>
    </w:p>
    <w:p w:rsidR="00AF4655" w:rsidRPr="00AF4655" w:rsidRDefault="00AF4655" w:rsidP="00402023">
      <w:pPr>
        <w:numPr>
          <w:ilvl w:val="0"/>
          <w:numId w:val="5"/>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Responsive web interfaces</w:t>
      </w:r>
    </w:p>
    <w:p w:rsidR="00AF4655" w:rsidRPr="00AF4655" w:rsidRDefault="00AF4655" w:rsidP="00402023">
      <w:pPr>
        <w:numPr>
          <w:ilvl w:val="0"/>
          <w:numId w:val="5"/>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Mobile accessibility</w:t>
      </w:r>
    </w:p>
    <w:p w:rsidR="00AF4655" w:rsidRPr="00AF4655" w:rsidRDefault="00AF4655" w:rsidP="00402023">
      <w:pPr>
        <w:numPr>
          <w:ilvl w:val="0"/>
          <w:numId w:val="5"/>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Workflow customization</w:t>
      </w:r>
    </w:p>
    <w:p w:rsidR="00AF4655" w:rsidRPr="00AF4655" w:rsidRDefault="00AF4655" w:rsidP="00402023">
      <w:pPr>
        <w:numPr>
          <w:ilvl w:val="0"/>
          <w:numId w:val="5"/>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Context-sensitive decision support</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These capabilities enable healthcare providers to interact efficiently with large volumes of patient information while maintaining workflow continuity.</w:t>
      </w:r>
    </w:p>
    <w:p w:rsidR="00AF4655" w:rsidRPr="00AF4655" w:rsidRDefault="00AF4655" w:rsidP="00AF4655">
      <w:pPr>
        <w:pStyle w:val="Heading2"/>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3.5 Clinical Services Layer</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Clinical Services Layer contains the operational components responsible for healthcare service delivery.</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Microservices Architecture</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Instead of relying on a monolithic application structure, the framework adopts independent microservices responsible for specific clinical functions.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Examples include:</w:t>
      </w:r>
    </w:p>
    <w:p w:rsidR="00AF4655" w:rsidRPr="00AF4655" w:rsidRDefault="00AF4655" w:rsidP="00402023">
      <w:pPr>
        <w:numPr>
          <w:ilvl w:val="0"/>
          <w:numId w:val="6"/>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Patient Registration Service</w:t>
      </w:r>
    </w:p>
    <w:p w:rsidR="00AF4655" w:rsidRPr="00AF4655" w:rsidRDefault="00AF4655" w:rsidP="00402023">
      <w:pPr>
        <w:numPr>
          <w:ilvl w:val="0"/>
          <w:numId w:val="6"/>
        </w:numPr>
        <w:spacing w:before="100" w:beforeAutospacing="1" w:after="100" w:afterAutospacing="1" w:line="276" w:lineRule="auto"/>
        <w:jc w:val="both"/>
        <w:rPr>
          <w:rFonts w:ascii="Cambria" w:hAnsi="Cambria"/>
          <w:sz w:val="20"/>
          <w:szCs w:val="20"/>
        </w:rPr>
      </w:pPr>
      <w:proofErr w:type="spellStart"/>
      <w:r w:rsidRPr="00AF4655">
        <w:rPr>
          <w:rFonts w:ascii="Cambria" w:hAnsi="Cambria"/>
          <w:sz w:val="20"/>
          <w:szCs w:val="20"/>
        </w:rPr>
        <w:t>Behavioral</w:t>
      </w:r>
      <w:proofErr w:type="spellEnd"/>
      <w:r w:rsidRPr="00AF4655">
        <w:rPr>
          <w:rFonts w:ascii="Cambria" w:hAnsi="Cambria"/>
          <w:sz w:val="20"/>
          <w:szCs w:val="20"/>
        </w:rPr>
        <w:t xml:space="preserve"> Assessment Service</w:t>
      </w:r>
    </w:p>
    <w:p w:rsidR="00AF4655" w:rsidRPr="00AF4655" w:rsidRDefault="00AF4655" w:rsidP="00402023">
      <w:pPr>
        <w:numPr>
          <w:ilvl w:val="0"/>
          <w:numId w:val="6"/>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Treatment Planning Service</w:t>
      </w:r>
    </w:p>
    <w:p w:rsidR="00AF4655" w:rsidRPr="00AF4655" w:rsidRDefault="00AF4655" w:rsidP="00402023">
      <w:pPr>
        <w:numPr>
          <w:ilvl w:val="0"/>
          <w:numId w:val="6"/>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Medication Management Service</w:t>
      </w:r>
    </w:p>
    <w:p w:rsidR="00AF4655" w:rsidRPr="00AF4655" w:rsidRDefault="00AF4655" w:rsidP="00402023">
      <w:pPr>
        <w:numPr>
          <w:ilvl w:val="0"/>
          <w:numId w:val="6"/>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Telehealth Service</w:t>
      </w:r>
    </w:p>
    <w:p w:rsidR="00AF4655" w:rsidRPr="00AF4655" w:rsidRDefault="00AF4655" w:rsidP="00402023">
      <w:pPr>
        <w:numPr>
          <w:ilvl w:val="0"/>
          <w:numId w:val="6"/>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Billing Service</w:t>
      </w:r>
    </w:p>
    <w:p w:rsidR="00AF4655" w:rsidRPr="00AF4655" w:rsidRDefault="00AF4655" w:rsidP="00402023">
      <w:pPr>
        <w:numPr>
          <w:ilvl w:val="0"/>
          <w:numId w:val="6"/>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Reporting Service</w:t>
      </w:r>
    </w:p>
    <w:p w:rsidR="00AF4655" w:rsidRPr="00AF4655" w:rsidRDefault="00AF4655" w:rsidP="00402023">
      <w:pPr>
        <w:numPr>
          <w:ilvl w:val="0"/>
          <w:numId w:val="6"/>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Analytics Service</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 xml:space="preserve">According to </w:t>
      </w:r>
      <w:proofErr w:type="spellStart"/>
      <w:r w:rsidRPr="00AF4655">
        <w:rPr>
          <w:rFonts w:ascii="Cambria" w:hAnsi="Cambria"/>
          <w:sz w:val="20"/>
          <w:szCs w:val="20"/>
        </w:rPr>
        <w:t>Akerele</w:t>
      </w:r>
      <w:proofErr w:type="spellEnd"/>
      <w:r w:rsidRPr="00AF4655">
        <w:rPr>
          <w:rFonts w:ascii="Cambria" w:hAnsi="Cambria"/>
          <w:sz w:val="20"/>
          <w:szCs w:val="20"/>
        </w:rPr>
        <w:t xml:space="preserve"> et al. (2024), microservices significantly improve scalability by allowing independent deployment and resource allocation. When demand increases for telehealth services, for example, only the telehealth component requires scaling rather than the entire EMR platform.</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Functional Advantages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Microservices provide:</w:t>
      </w:r>
    </w:p>
    <w:p w:rsidR="00AF4655" w:rsidRPr="00AF4655" w:rsidRDefault="00AF4655" w:rsidP="00402023">
      <w:pPr>
        <w:numPr>
          <w:ilvl w:val="0"/>
          <w:numId w:val="7"/>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Fault isolation</w:t>
      </w:r>
    </w:p>
    <w:p w:rsidR="00AF4655" w:rsidRPr="00AF4655" w:rsidRDefault="00AF4655" w:rsidP="00402023">
      <w:pPr>
        <w:numPr>
          <w:ilvl w:val="0"/>
          <w:numId w:val="7"/>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Independent updates</w:t>
      </w:r>
    </w:p>
    <w:p w:rsidR="00AF4655" w:rsidRPr="00AF4655" w:rsidRDefault="00AF4655" w:rsidP="00402023">
      <w:pPr>
        <w:numPr>
          <w:ilvl w:val="0"/>
          <w:numId w:val="7"/>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Flexible deployment</w:t>
      </w:r>
    </w:p>
    <w:p w:rsidR="00AF4655" w:rsidRPr="00AF4655" w:rsidRDefault="00AF4655" w:rsidP="00402023">
      <w:pPr>
        <w:numPr>
          <w:ilvl w:val="0"/>
          <w:numId w:val="7"/>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Resource optimization</w:t>
      </w:r>
    </w:p>
    <w:p w:rsidR="00AF4655" w:rsidRPr="00AF4655" w:rsidRDefault="00AF4655" w:rsidP="00402023">
      <w:pPr>
        <w:numPr>
          <w:ilvl w:val="0"/>
          <w:numId w:val="7"/>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Faster innovation cycles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Calderón-Gómez et al. (2021) similarly reported that modular service architectures enhance maintainability and deployment efficiency in healthcare applications.</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Behavioral Healthcare Application</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Behavioral health organizations frequently introduce new clinical programs and treatment models. Microservices enable organizations to integrate additional services without disrupting existing workflows.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For example:</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 xml:space="preserve">A substance abuse treatment module can be introduced independently of psychiatric evaluation functions, </w:t>
      </w:r>
      <w:r w:rsidRPr="00AF4655">
        <w:rPr>
          <w:rFonts w:ascii="Cambria" w:hAnsi="Cambria"/>
          <w:sz w:val="20"/>
          <w:szCs w:val="20"/>
        </w:rPr>
        <w:lastRenderedPageBreak/>
        <w:t>reducing implementation complexity while preserving operational stability.</w:t>
      </w:r>
    </w:p>
    <w:p w:rsidR="00AF4655" w:rsidRPr="00AF4655" w:rsidRDefault="00AF4655" w:rsidP="00AF4655">
      <w:pPr>
        <w:spacing w:line="276" w:lineRule="auto"/>
        <w:jc w:val="both"/>
        <w:rPr>
          <w:rFonts w:ascii="Cambria" w:hAnsi="Cambria"/>
          <w:sz w:val="20"/>
          <w:szCs w:val="20"/>
        </w:rPr>
      </w:pPr>
    </w:p>
    <w:p w:rsidR="00AF4655" w:rsidRPr="00AF4655" w:rsidRDefault="00AF4655" w:rsidP="00AF4655">
      <w:pPr>
        <w:pStyle w:val="Heading2"/>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3.6 Interoperability Layer</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Interoperability Layer functions as the communication backbone of the proposed architecture.</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Purpose</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Healthcare systems increasingly operate within interconnected ecosystems requiring continuous information exchange. The interoperability layer ensures seamless communication among internal and external systems.</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FHIR Integration</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framework adopts FHIR as its primary interoperability standard.</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FHIR resources support:</w:t>
      </w:r>
    </w:p>
    <w:p w:rsidR="00AF4655" w:rsidRPr="00AF4655" w:rsidRDefault="00AF4655" w:rsidP="00402023">
      <w:pPr>
        <w:numPr>
          <w:ilvl w:val="0"/>
          <w:numId w:val="8"/>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Patient records</w:t>
      </w:r>
    </w:p>
    <w:p w:rsidR="00AF4655" w:rsidRPr="00AF4655" w:rsidRDefault="00AF4655" w:rsidP="00402023">
      <w:pPr>
        <w:numPr>
          <w:ilvl w:val="0"/>
          <w:numId w:val="8"/>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Appointments</w:t>
      </w:r>
    </w:p>
    <w:p w:rsidR="00AF4655" w:rsidRPr="00AF4655" w:rsidRDefault="00AF4655" w:rsidP="00402023">
      <w:pPr>
        <w:numPr>
          <w:ilvl w:val="0"/>
          <w:numId w:val="8"/>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Medications</w:t>
      </w:r>
    </w:p>
    <w:p w:rsidR="00AF4655" w:rsidRPr="00AF4655" w:rsidRDefault="00AF4655" w:rsidP="00402023">
      <w:pPr>
        <w:numPr>
          <w:ilvl w:val="0"/>
          <w:numId w:val="8"/>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Clinical observations</w:t>
      </w:r>
    </w:p>
    <w:p w:rsidR="00AF4655" w:rsidRPr="00AF4655" w:rsidRDefault="00AF4655" w:rsidP="00402023">
      <w:pPr>
        <w:numPr>
          <w:ilvl w:val="0"/>
          <w:numId w:val="8"/>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Diagnostic reports</w:t>
      </w:r>
    </w:p>
    <w:p w:rsidR="00AF4655" w:rsidRPr="00AF4655" w:rsidRDefault="00AF4655" w:rsidP="00402023">
      <w:pPr>
        <w:numPr>
          <w:ilvl w:val="0"/>
          <w:numId w:val="8"/>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Treatment plans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 xml:space="preserve">Research by </w:t>
      </w:r>
      <w:proofErr w:type="spellStart"/>
      <w:r w:rsidRPr="00AF4655">
        <w:rPr>
          <w:rFonts w:ascii="Cambria" w:hAnsi="Cambria"/>
          <w:sz w:val="20"/>
          <w:szCs w:val="20"/>
        </w:rPr>
        <w:t>Pimenta</w:t>
      </w:r>
      <w:proofErr w:type="spellEnd"/>
      <w:r w:rsidRPr="00AF4655">
        <w:rPr>
          <w:rFonts w:ascii="Cambria" w:hAnsi="Cambria"/>
          <w:sz w:val="20"/>
          <w:szCs w:val="20"/>
        </w:rPr>
        <w:t xml:space="preserve"> et al. (2023), </w:t>
      </w:r>
      <w:proofErr w:type="spellStart"/>
      <w:r w:rsidRPr="00AF4655">
        <w:rPr>
          <w:rFonts w:ascii="Cambria" w:hAnsi="Cambria"/>
          <w:sz w:val="20"/>
          <w:szCs w:val="20"/>
        </w:rPr>
        <w:t>Vorisek</w:t>
      </w:r>
      <w:proofErr w:type="spellEnd"/>
      <w:r w:rsidRPr="00AF4655">
        <w:rPr>
          <w:rFonts w:ascii="Cambria" w:hAnsi="Cambria"/>
          <w:sz w:val="20"/>
          <w:szCs w:val="20"/>
        </w:rPr>
        <w:t xml:space="preserve"> (2022), and Tabari (2024) demonstrates that FHIR provides a standardized mechanism for healthcare information exchange while reducing integration complexity.</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API Gateway Architecture</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framework incorporates an API gateway responsible for:</w:t>
      </w:r>
    </w:p>
    <w:p w:rsidR="00AF4655" w:rsidRPr="00AF4655" w:rsidRDefault="00AF4655" w:rsidP="00402023">
      <w:pPr>
        <w:numPr>
          <w:ilvl w:val="0"/>
          <w:numId w:val="9"/>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Request routing</w:t>
      </w:r>
    </w:p>
    <w:p w:rsidR="00AF4655" w:rsidRPr="00AF4655" w:rsidRDefault="00AF4655" w:rsidP="00402023">
      <w:pPr>
        <w:numPr>
          <w:ilvl w:val="0"/>
          <w:numId w:val="9"/>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Authentication</w:t>
      </w:r>
    </w:p>
    <w:p w:rsidR="00AF4655" w:rsidRPr="00AF4655" w:rsidRDefault="00AF4655" w:rsidP="00402023">
      <w:pPr>
        <w:numPr>
          <w:ilvl w:val="0"/>
          <w:numId w:val="9"/>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Service discovery</w:t>
      </w:r>
    </w:p>
    <w:p w:rsidR="00AF4655" w:rsidRPr="00AF4655" w:rsidRDefault="00AF4655" w:rsidP="00402023">
      <w:pPr>
        <w:numPr>
          <w:ilvl w:val="0"/>
          <w:numId w:val="9"/>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Traffic management</w:t>
      </w:r>
    </w:p>
    <w:p w:rsidR="00AF4655" w:rsidRPr="00AF4655" w:rsidRDefault="00AF4655" w:rsidP="00402023">
      <w:pPr>
        <w:numPr>
          <w:ilvl w:val="0"/>
          <w:numId w:val="9"/>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Performance monitoring</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gateway creates a controlled interface through which external applications interact with EMR services.</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External Integration Examples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interoperability layer supports integration with:</w:t>
      </w:r>
    </w:p>
    <w:p w:rsidR="00AF4655" w:rsidRPr="00AF4655" w:rsidRDefault="00AF4655" w:rsidP="00402023">
      <w:pPr>
        <w:numPr>
          <w:ilvl w:val="0"/>
          <w:numId w:val="10"/>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Hospital systems</w:t>
      </w:r>
    </w:p>
    <w:p w:rsidR="00AF4655" w:rsidRPr="00AF4655" w:rsidRDefault="00AF4655" w:rsidP="00402023">
      <w:pPr>
        <w:numPr>
          <w:ilvl w:val="0"/>
          <w:numId w:val="10"/>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Laboratory systems</w:t>
      </w:r>
    </w:p>
    <w:p w:rsidR="00AF4655" w:rsidRPr="00AF4655" w:rsidRDefault="00AF4655" w:rsidP="00402023">
      <w:pPr>
        <w:numPr>
          <w:ilvl w:val="0"/>
          <w:numId w:val="10"/>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Pharmacy networks</w:t>
      </w:r>
    </w:p>
    <w:p w:rsidR="00AF4655" w:rsidRPr="00AF4655" w:rsidRDefault="00AF4655" w:rsidP="00402023">
      <w:pPr>
        <w:numPr>
          <w:ilvl w:val="0"/>
          <w:numId w:val="10"/>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Insurance providers</w:t>
      </w:r>
    </w:p>
    <w:p w:rsidR="00AF4655" w:rsidRPr="00AF4655" w:rsidRDefault="00AF4655" w:rsidP="00402023">
      <w:pPr>
        <w:numPr>
          <w:ilvl w:val="0"/>
          <w:numId w:val="10"/>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Telehealth platforms</w:t>
      </w:r>
    </w:p>
    <w:p w:rsidR="00AF4655" w:rsidRPr="00AF4655" w:rsidRDefault="00AF4655" w:rsidP="00402023">
      <w:pPr>
        <w:numPr>
          <w:ilvl w:val="0"/>
          <w:numId w:val="10"/>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Public health databases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This capability enhances care coordination and improves continuity of behavioral health treatment.</w:t>
      </w:r>
    </w:p>
    <w:p w:rsidR="00AF4655" w:rsidRPr="00802DA3" w:rsidRDefault="00AF4655" w:rsidP="00AF4655">
      <w:pPr>
        <w:pStyle w:val="Heading2"/>
        <w:spacing w:line="276" w:lineRule="auto"/>
        <w:jc w:val="both"/>
        <w:rPr>
          <w:rFonts w:ascii="Cambria" w:hAnsi="Cambria"/>
          <w:b/>
          <w:bCs/>
          <w:color w:val="000000" w:themeColor="text1"/>
          <w:sz w:val="20"/>
          <w:szCs w:val="20"/>
        </w:rPr>
      </w:pPr>
      <w:bookmarkStart w:id="0" w:name="_GoBack"/>
      <w:r w:rsidRPr="00802DA3">
        <w:rPr>
          <w:rFonts w:ascii="Cambria" w:hAnsi="Cambria"/>
          <w:b/>
          <w:bCs/>
          <w:color w:val="000000" w:themeColor="text1"/>
          <w:sz w:val="20"/>
          <w:szCs w:val="20"/>
        </w:rPr>
        <w:t>3.7 Data Management Layer</w:t>
      </w:r>
    </w:p>
    <w:bookmarkEnd w:id="0"/>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Data Management Layer serves as the foundation of healthcare information storage and retrieval.</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Data Characteristics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Behavioral healthcare data includes:</w:t>
      </w:r>
    </w:p>
    <w:p w:rsidR="00AF4655" w:rsidRPr="00AF4655" w:rsidRDefault="00AF4655" w:rsidP="00402023">
      <w:pPr>
        <w:numPr>
          <w:ilvl w:val="0"/>
          <w:numId w:val="11"/>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Structured clinical records</w:t>
      </w:r>
    </w:p>
    <w:p w:rsidR="00AF4655" w:rsidRPr="00AF4655" w:rsidRDefault="00AF4655" w:rsidP="00402023">
      <w:pPr>
        <w:numPr>
          <w:ilvl w:val="0"/>
          <w:numId w:val="11"/>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Psychiatric assessments</w:t>
      </w:r>
    </w:p>
    <w:p w:rsidR="00AF4655" w:rsidRPr="00AF4655" w:rsidRDefault="00AF4655" w:rsidP="00402023">
      <w:pPr>
        <w:numPr>
          <w:ilvl w:val="0"/>
          <w:numId w:val="11"/>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Treatment plans</w:t>
      </w:r>
    </w:p>
    <w:p w:rsidR="00AF4655" w:rsidRPr="00AF4655" w:rsidRDefault="00AF4655" w:rsidP="00402023">
      <w:pPr>
        <w:numPr>
          <w:ilvl w:val="0"/>
          <w:numId w:val="11"/>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Progress notes</w:t>
      </w:r>
    </w:p>
    <w:p w:rsidR="00AF4655" w:rsidRPr="00AF4655" w:rsidRDefault="00AF4655" w:rsidP="00402023">
      <w:pPr>
        <w:numPr>
          <w:ilvl w:val="0"/>
          <w:numId w:val="11"/>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Medication histories</w:t>
      </w:r>
    </w:p>
    <w:p w:rsidR="00AF4655" w:rsidRPr="00AF4655" w:rsidRDefault="00AF4655" w:rsidP="00402023">
      <w:pPr>
        <w:numPr>
          <w:ilvl w:val="0"/>
          <w:numId w:val="11"/>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Telehealth interactions</w:t>
      </w:r>
    </w:p>
    <w:p w:rsidR="00AF4655" w:rsidRPr="00AF4655" w:rsidRDefault="00AF4655" w:rsidP="00402023">
      <w:pPr>
        <w:numPr>
          <w:ilvl w:val="0"/>
          <w:numId w:val="11"/>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Predictive analytics datasets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These diverse data types require flexible storage architectures.</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Hybrid Data Strategy</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proposed framework adopts a hybrid storage model.</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Structured data are maintained within relational databases.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Unstructured and semi-structured information are maintained within document-oriented repositories.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This combination improves scalability while supporting diverse information requirements.</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Data Partitioning</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To improve performance, the framework incorporates:</w:t>
      </w:r>
    </w:p>
    <w:p w:rsidR="00AF4655" w:rsidRPr="00AF4655" w:rsidRDefault="00AF4655" w:rsidP="00402023">
      <w:pPr>
        <w:numPr>
          <w:ilvl w:val="0"/>
          <w:numId w:val="12"/>
        </w:numPr>
        <w:spacing w:before="100" w:beforeAutospacing="1" w:after="100" w:afterAutospacing="1" w:line="276" w:lineRule="auto"/>
        <w:jc w:val="both"/>
        <w:rPr>
          <w:rFonts w:ascii="Cambria" w:hAnsi="Cambria"/>
          <w:sz w:val="20"/>
          <w:szCs w:val="20"/>
        </w:rPr>
      </w:pPr>
      <w:r w:rsidRPr="00AF4655">
        <w:rPr>
          <w:rFonts w:ascii="Cambria" w:hAnsi="Cambria"/>
          <w:sz w:val="20"/>
          <w:szCs w:val="20"/>
        </w:rPr>
        <w:lastRenderedPageBreak/>
        <w:t>Horizontal partitioning</w:t>
      </w:r>
    </w:p>
    <w:p w:rsidR="00AF4655" w:rsidRPr="00AF4655" w:rsidRDefault="00AF4655" w:rsidP="00402023">
      <w:pPr>
        <w:numPr>
          <w:ilvl w:val="0"/>
          <w:numId w:val="12"/>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 xml:space="preserve">Data </w:t>
      </w:r>
      <w:proofErr w:type="spellStart"/>
      <w:r w:rsidRPr="00AF4655">
        <w:rPr>
          <w:rFonts w:ascii="Cambria" w:hAnsi="Cambria"/>
          <w:sz w:val="20"/>
          <w:szCs w:val="20"/>
        </w:rPr>
        <w:t>sharding</w:t>
      </w:r>
      <w:proofErr w:type="spellEnd"/>
    </w:p>
    <w:p w:rsidR="00AF4655" w:rsidRPr="00AF4655" w:rsidRDefault="00AF4655" w:rsidP="00402023">
      <w:pPr>
        <w:numPr>
          <w:ilvl w:val="0"/>
          <w:numId w:val="12"/>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Distributed caching</w:t>
      </w:r>
    </w:p>
    <w:p w:rsidR="00AF4655" w:rsidRPr="00AF4655" w:rsidRDefault="00AF4655" w:rsidP="00402023">
      <w:pPr>
        <w:numPr>
          <w:ilvl w:val="0"/>
          <w:numId w:val="12"/>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Replication mechanisms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These techniques reduce bottlenecks and improve responsiveness under high workloads.</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Analytics Support</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architecture includes dedicated data pipelines supporting analytical applications.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Machine learning systems can access curated datasets without affecting transactional performance.</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 xml:space="preserve">This approach supports predictive healthcare initiatives similar to those described by </w:t>
      </w:r>
      <w:proofErr w:type="spellStart"/>
      <w:r w:rsidRPr="00AF4655">
        <w:rPr>
          <w:rFonts w:ascii="Cambria" w:hAnsi="Cambria"/>
          <w:sz w:val="20"/>
          <w:szCs w:val="20"/>
        </w:rPr>
        <w:t>Jagarlamudi</w:t>
      </w:r>
      <w:proofErr w:type="spellEnd"/>
      <w:r w:rsidRPr="00AF4655">
        <w:rPr>
          <w:rFonts w:ascii="Cambria" w:hAnsi="Cambria"/>
          <w:sz w:val="20"/>
          <w:szCs w:val="20"/>
        </w:rPr>
        <w:t xml:space="preserve"> (2025).</w:t>
      </w:r>
    </w:p>
    <w:p w:rsidR="00AF4655" w:rsidRPr="00802DA3" w:rsidRDefault="00AF4655" w:rsidP="00AF4655">
      <w:pPr>
        <w:pStyle w:val="Heading2"/>
        <w:spacing w:line="276" w:lineRule="auto"/>
        <w:jc w:val="both"/>
        <w:rPr>
          <w:rFonts w:ascii="Cambria" w:hAnsi="Cambria"/>
          <w:b/>
          <w:bCs/>
          <w:color w:val="000000" w:themeColor="text1"/>
          <w:sz w:val="20"/>
          <w:szCs w:val="20"/>
        </w:rPr>
      </w:pPr>
      <w:r w:rsidRPr="00802DA3">
        <w:rPr>
          <w:rFonts w:ascii="Cambria" w:hAnsi="Cambria"/>
          <w:b/>
          <w:bCs/>
          <w:color w:val="000000" w:themeColor="text1"/>
          <w:sz w:val="20"/>
          <w:szCs w:val="20"/>
        </w:rPr>
        <w:t>3.8 Cloud Infrastructure Layer</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Cloud Infrastructure Layer provides computational resources necessary for scalable operations.</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Cloud-Native Design</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framework embraces cloud-native principles including:</w:t>
      </w:r>
    </w:p>
    <w:p w:rsidR="00AF4655" w:rsidRPr="00AF4655" w:rsidRDefault="00AF4655" w:rsidP="00402023">
      <w:pPr>
        <w:numPr>
          <w:ilvl w:val="0"/>
          <w:numId w:val="13"/>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Containerization</w:t>
      </w:r>
    </w:p>
    <w:p w:rsidR="00AF4655" w:rsidRPr="00AF4655" w:rsidRDefault="00AF4655" w:rsidP="00402023">
      <w:pPr>
        <w:numPr>
          <w:ilvl w:val="0"/>
          <w:numId w:val="13"/>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Orchestration</w:t>
      </w:r>
    </w:p>
    <w:p w:rsidR="00AF4655" w:rsidRPr="00AF4655" w:rsidRDefault="00AF4655" w:rsidP="00402023">
      <w:pPr>
        <w:numPr>
          <w:ilvl w:val="0"/>
          <w:numId w:val="13"/>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Elastic resource allocation</w:t>
      </w:r>
    </w:p>
    <w:p w:rsidR="00AF4655" w:rsidRPr="00AF4655" w:rsidRDefault="00AF4655" w:rsidP="00402023">
      <w:pPr>
        <w:numPr>
          <w:ilvl w:val="0"/>
          <w:numId w:val="13"/>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Automated deployment</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Cloud-native healthcare architectures provide greater scalability and resilience than traditional on-premises deployments (Cloud-native applications in healthcare IT, 2025).</w:t>
      </w:r>
    </w:p>
    <w:p w:rsidR="00AF4655" w:rsidRPr="00AF4655" w:rsidRDefault="00AF4655" w:rsidP="00AF4655">
      <w:pPr>
        <w:pStyle w:val="Heading3"/>
        <w:spacing w:line="276" w:lineRule="auto"/>
        <w:jc w:val="both"/>
        <w:rPr>
          <w:rFonts w:ascii="Cambria" w:hAnsi="Cambria"/>
          <w:b/>
          <w:bCs/>
          <w:sz w:val="20"/>
          <w:szCs w:val="20"/>
        </w:rPr>
      </w:pPr>
      <w:r w:rsidRPr="00AF4655">
        <w:rPr>
          <w:rFonts w:ascii="Cambria" w:hAnsi="Cambria"/>
          <w:b/>
          <w:bCs/>
          <w:color w:val="000000" w:themeColor="text1"/>
          <w:sz w:val="20"/>
          <w:szCs w:val="20"/>
        </w:rPr>
        <w:t>Container-Based Deployment</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Each microservice is deployed within independent containers.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Advantages include:</w:t>
      </w:r>
    </w:p>
    <w:p w:rsidR="00AF4655" w:rsidRPr="00AF4655" w:rsidRDefault="00AF4655" w:rsidP="00402023">
      <w:pPr>
        <w:numPr>
          <w:ilvl w:val="0"/>
          <w:numId w:val="14"/>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Portability</w:t>
      </w:r>
    </w:p>
    <w:p w:rsidR="00AF4655" w:rsidRPr="00AF4655" w:rsidRDefault="00AF4655" w:rsidP="00402023">
      <w:pPr>
        <w:numPr>
          <w:ilvl w:val="0"/>
          <w:numId w:val="14"/>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Isolation</w:t>
      </w:r>
    </w:p>
    <w:p w:rsidR="00AF4655" w:rsidRPr="00AF4655" w:rsidRDefault="00AF4655" w:rsidP="00402023">
      <w:pPr>
        <w:numPr>
          <w:ilvl w:val="0"/>
          <w:numId w:val="14"/>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Efficient resource utilization</w:t>
      </w:r>
    </w:p>
    <w:p w:rsidR="00AF4655" w:rsidRPr="00AF4655" w:rsidRDefault="00AF4655" w:rsidP="00402023">
      <w:pPr>
        <w:numPr>
          <w:ilvl w:val="0"/>
          <w:numId w:val="14"/>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Rapid deployment</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Orchestration Platform</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Container orchestration systems manage:</w:t>
      </w:r>
    </w:p>
    <w:p w:rsidR="00AF4655" w:rsidRPr="00AF4655" w:rsidRDefault="00AF4655" w:rsidP="00402023">
      <w:pPr>
        <w:numPr>
          <w:ilvl w:val="0"/>
          <w:numId w:val="15"/>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Scaling</w:t>
      </w:r>
    </w:p>
    <w:p w:rsidR="00AF4655" w:rsidRPr="00AF4655" w:rsidRDefault="00AF4655" w:rsidP="00402023">
      <w:pPr>
        <w:numPr>
          <w:ilvl w:val="0"/>
          <w:numId w:val="15"/>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Load balancing</w:t>
      </w:r>
    </w:p>
    <w:p w:rsidR="00AF4655" w:rsidRPr="00AF4655" w:rsidRDefault="00AF4655" w:rsidP="00402023">
      <w:pPr>
        <w:numPr>
          <w:ilvl w:val="0"/>
          <w:numId w:val="15"/>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Service recovery</w:t>
      </w:r>
    </w:p>
    <w:p w:rsidR="00AF4655" w:rsidRPr="00AF4655" w:rsidRDefault="00AF4655" w:rsidP="00402023">
      <w:pPr>
        <w:numPr>
          <w:ilvl w:val="0"/>
          <w:numId w:val="15"/>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Resource allocation</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This capability ensures continuous availability during fluctuating workload conditions.</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Disaster Recovery</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Behavioral healthcare organizations require uninterrupted access to patient records.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Therefore, the framework incorporates:</w:t>
      </w:r>
    </w:p>
    <w:p w:rsidR="00AF4655" w:rsidRPr="00AF4655" w:rsidRDefault="00AF4655" w:rsidP="00402023">
      <w:pPr>
        <w:numPr>
          <w:ilvl w:val="0"/>
          <w:numId w:val="16"/>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Geographic redundancy</w:t>
      </w:r>
    </w:p>
    <w:p w:rsidR="00AF4655" w:rsidRPr="00AF4655" w:rsidRDefault="00AF4655" w:rsidP="00402023">
      <w:pPr>
        <w:numPr>
          <w:ilvl w:val="0"/>
          <w:numId w:val="16"/>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Automated backups</w:t>
      </w:r>
    </w:p>
    <w:p w:rsidR="00AF4655" w:rsidRPr="00AF4655" w:rsidRDefault="00AF4655" w:rsidP="00402023">
      <w:pPr>
        <w:numPr>
          <w:ilvl w:val="0"/>
          <w:numId w:val="16"/>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Failover mechanisms</w:t>
      </w:r>
    </w:p>
    <w:p w:rsidR="00AF4655" w:rsidRPr="00AF4655" w:rsidRDefault="00AF4655" w:rsidP="00402023">
      <w:pPr>
        <w:numPr>
          <w:ilvl w:val="0"/>
          <w:numId w:val="16"/>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Continuous monitoring</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These features enhance organizational resilience.</w:t>
      </w:r>
    </w:p>
    <w:p w:rsidR="00AF4655" w:rsidRPr="00802DA3" w:rsidRDefault="00AF4655" w:rsidP="00AF4655">
      <w:pPr>
        <w:pStyle w:val="Heading2"/>
        <w:spacing w:line="276" w:lineRule="auto"/>
        <w:jc w:val="both"/>
        <w:rPr>
          <w:rFonts w:ascii="Cambria" w:hAnsi="Cambria"/>
          <w:b/>
          <w:bCs/>
          <w:color w:val="000000" w:themeColor="text1"/>
          <w:sz w:val="20"/>
          <w:szCs w:val="20"/>
        </w:rPr>
      </w:pPr>
      <w:r w:rsidRPr="00802DA3">
        <w:rPr>
          <w:rFonts w:ascii="Cambria" w:hAnsi="Cambria"/>
          <w:b/>
          <w:bCs/>
          <w:color w:val="000000" w:themeColor="text1"/>
          <w:sz w:val="20"/>
          <w:szCs w:val="20"/>
        </w:rPr>
        <w:t>3.9 Governance and Security Layer</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Security represents one of the most critical dimensions of behavioral healthcare information management.</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Security Objectives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framework addresses:</w:t>
      </w:r>
    </w:p>
    <w:p w:rsidR="00AF4655" w:rsidRPr="00AF4655" w:rsidRDefault="00AF4655" w:rsidP="00402023">
      <w:pPr>
        <w:numPr>
          <w:ilvl w:val="0"/>
          <w:numId w:val="17"/>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Confidentiality</w:t>
      </w:r>
    </w:p>
    <w:p w:rsidR="00AF4655" w:rsidRPr="00AF4655" w:rsidRDefault="00AF4655" w:rsidP="00402023">
      <w:pPr>
        <w:numPr>
          <w:ilvl w:val="0"/>
          <w:numId w:val="17"/>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Integrity</w:t>
      </w:r>
    </w:p>
    <w:p w:rsidR="00AF4655" w:rsidRPr="00AF4655" w:rsidRDefault="00AF4655" w:rsidP="00402023">
      <w:pPr>
        <w:numPr>
          <w:ilvl w:val="0"/>
          <w:numId w:val="17"/>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Availability</w:t>
      </w:r>
    </w:p>
    <w:p w:rsidR="00AF4655" w:rsidRPr="00AF4655" w:rsidRDefault="00AF4655" w:rsidP="00402023">
      <w:pPr>
        <w:numPr>
          <w:ilvl w:val="0"/>
          <w:numId w:val="17"/>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Accountability</w:t>
      </w:r>
    </w:p>
    <w:p w:rsidR="00AF4655" w:rsidRPr="00AF4655" w:rsidRDefault="00AF4655" w:rsidP="00402023">
      <w:pPr>
        <w:numPr>
          <w:ilvl w:val="0"/>
          <w:numId w:val="17"/>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Compliance</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Identity and Access Management</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Role-based access controls restrict information access according to professional responsibilities.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Examples include:</w:t>
      </w:r>
    </w:p>
    <w:p w:rsidR="00AF4655" w:rsidRPr="00AF4655" w:rsidRDefault="00AF4655" w:rsidP="00402023">
      <w:pPr>
        <w:numPr>
          <w:ilvl w:val="0"/>
          <w:numId w:val="18"/>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Psychiatrist permissions</w:t>
      </w:r>
    </w:p>
    <w:p w:rsidR="00AF4655" w:rsidRPr="00AF4655" w:rsidRDefault="00AF4655" w:rsidP="00402023">
      <w:pPr>
        <w:numPr>
          <w:ilvl w:val="0"/>
          <w:numId w:val="18"/>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Therapist permissions</w:t>
      </w:r>
    </w:p>
    <w:p w:rsidR="00AF4655" w:rsidRPr="00AF4655" w:rsidRDefault="00AF4655" w:rsidP="00402023">
      <w:pPr>
        <w:numPr>
          <w:ilvl w:val="0"/>
          <w:numId w:val="18"/>
        </w:numPr>
        <w:spacing w:before="100" w:beforeAutospacing="1" w:after="100" w:afterAutospacing="1" w:line="276" w:lineRule="auto"/>
        <w:jc w:val="both"/>
        <w:rPr>
          <w:rFonts w:ascii="Cambria" w:hAnsi="Cambria"/>
          <w:sz w:val="20"/>
          <w:szCs w:val="20"/>
        </w:rPr>
      </w:pPr>
      <w:r w:rsidRPr="00AF4655">
        <w:rPr>
          <w:rFonts w:ascii="Cambria" w:hAnsi="Cambria"/>
          <w:sz w:val="20"/>
          <w:szCs w:val="20"/>
        </w:rPr>
        <w:lastRenderedPageBreak/>
        <w:t>Administrative permissions</w:t>
      </w:r>
    </w:p>
    <w:p w:rsidR="00AF4655" w:rsidRPr="00AF4655" w:rsidRDefault="00AF4655" w:rsidP="00402023">
      <w:pPr>
        <w:numPr>
          <w:ilvl w:val="0"/>
          <w:numId w:val="18"/>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Billing permissions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This approach reduces unauthorized access risks.</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Encryption Framework</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architecture supports:</w:t>
      </w:r>
    </w:p>
    <w:p w:rsidR="00AF4655" w:rsidRPr="00AF4655" w:rsidRDefault="00AF4655" w:rsidP="00402023">
      <w:pPr>
        <w:numPr>
          <w:ilvl w:val="0"/>
          <w:numId w:val="19"/>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Encryption at rest</w:t>
      </w:r>
    </w:p>
    <w:p w:rsidR="00AF4655" w:rsidRPr="00AF4655" w:rsidRDefault="00AF4655" w:rsidP="00402023">
      <w:pPr>
        <w:numPr>
          <w:ilvl w:val="0"/>
          <w:numId w:val="19"/>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Encryption in transit</w:t>
      </w:r>
    </w:p>
    <w:p w:rsidR="00AF4655" w:rsidRPr="00AF4655" w:rsidRDefault="00AF4655" w:rsidP="00402023">
      <w:pPr>
        <w:numPr>
          <w:ilvl w:val="0"/>
          <w:numId w:val="19"/>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Key management systems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These controls protect sensitive behavioral healthcare information.</w:t>
      </w:r>
    </w:p>
    <w:p w:rsidR="00AF4655" w:rsidRPr="00AF4655" w:rsidRDefault="00AF4655" w:rsidP="00AF4655">
      <w:pPr>
        <w:pStyle w:val="Heading3"/>
        <w:spacing w:line="276" w:lineRule="auto"/>
        <w:jc w:val="both"/>
        <w:rPr>
          <w:rFonts w:ascii="Cambria" w:hAnsi="Cambria"/>
          <w:color w:val="000000" w:themeColor="text1"/>
          <w:sz w:val="20"/>
          <w:szCs w:val="20"/>
        </w:rPr>
      </w:pPr>
      <w:r w:rsidRPr="00AF4655">
        <w:rPr>
          <w:rFonts w:ascii="Cambria" w:hAnsi="Cambria"/>
          <w:color w:val="000000" w:themeColor="text1"/>
          <w:sz w:val="20"/>
          <w:szCs w:val="20"/>
        </w:rPr>
        <w:t>Audit and Compliance Management</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Comprehensive audit trails document:</w:t>
      </w:r>
    </w:p>
    <w:p w:rsidR="00AF4655" w:rsidRPr="00AF4655" w:rsidRDefault="00AF4655" w:rsidP="00402023">
      <w:pPr>
        <w:numPr>
          <w:ilvl w:val="0"/>
          <w:numId w:val="20"/>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User activities</w:t>
      </w:r>
    </w:p>
    <w:p w:rsidR="00AF4655" w:rsidRPr="00AF4655" w:rsidRDefault="00AF4655" w:rsidP="00402023">
      <w:pPr>
        <w:numPr>
          <w:ilvl w:val="0"/>
          <w:numId w:val="20"/>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Data modifications</w:t>
      </w:r>
    </w:p>
    <w:p w:rsidR="00AF4655" w:rsidRPr="00AF4655" w:rsidRDefault="00AF4655" w:rsidP="00402023">
      <w:pPr>
        <w:numPr>
          <w:ilvl w:val="0"/>
          <w:numId w:val="20"/>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Access requests</w:t>
      </w:r>
    </w:p>
    <w:p w:rsidR="00AF4655" w:rsidRPr="00AF4655" w:rsidRDefault="00AF4655" w:rsidP="00402023">
      <w:pPr>
        <w:numPr>
          <w:ilvl w:val="0"/>
          <w:numId w:val="20"/>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Administrative actions</w:t>
      </w:r>
    </w:p>
    <w:p w:rsidR="00AF4655" w:rsidRPr="00AF4655" w:rsidRDefault="00AF4655" w:rsidP="00AF4655">
      <w:pPr>
        <w:pStyle w:val="isselectedend"/>
        <w:spacing w:line="276" w:lineRule="auto"/>
        <w:jc w:val="both"/>
        <w:rPr>
          <w:rFonts w:ascii="Cambria" w:hAnsi="Cambria"/>
          <w:sz w:val="20"/>
          <w:szCs w:val="20"/>
        </w:rPr>
      </w:pPr>
      <w:proofErr w:type="spellStart"/>
      <w:r w:rsidRPr="00AF4655">
        <w:rPr>
          <w:rFonts w:ascii="Cambria" w:hAnsi="Cambria"/>
          <w:sz w:val="20"/>
          <w:szCs w:val="20"/>
        </w:rPr>
        <w:t>Jagarlamudi</w:t>
      </w:r>
      <w:proofErr w:type="spellEnd"/>
      <w:r w:rsidRPr="00AF4655">
        <w:rPr>
          <w:rFonts w:ascii="Cambria" w:hAnsi="Cambria"/>
          <w:sz w:val="20"/>
          <w:szCs w:val="20"/>
        </w:rPr>
        <w:t xml:space="preserve"> and </w:t>
      </w:r>
      <w:proofErr w:type="spellStart"/>
      <w:r w:rsidRPr="00AF4655">
        <w:rPr>
          <w:rFonts w:ascii="Cambria" w:hAnsi="Cambria"/>
          <w:sz w:val="20"/>
          <w:szCs w:val="20"/>
        </w:rPr>
        <w:t>Pedarla</w:t>
      </w:r>
      <w:proofErr w:type="spellEnd"/>
      <w:r w:rsidRPr="00AF4655">
        <w:rPr>
          <w:rFonts w:ascii="Cambria" w:hAnsi="Cambria"/>
          <w:sz w:val="20"/>
          <w:szCs w:val="20"/>
        </w:rPr>
        <w:t xml:space="preserve"> (2025) emphasize the importance of governance structures in maintaining HIPAA-compliant cloud-hosted EMR environments.</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Security Monitoring</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Continuous monitoring systems detect:</w:t>
      </w:r>
    </w:p>
    <w:p w:rsidR="00AF4655" w:rsidRPr="00AF4655" w:rsidRDefault="00AF4655" w:rsidP="00402023">
      <w:pPr>
        <w:numPr>
          <w:ilvl w:val="0"/>
          <w:numId w:val="21"/>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Unauthorized access attempts</w:t>
      </w:r>
    </w:p>
    <w:p w:rsidR="00AF4655" w:rsidRPr="00AF4655" w:rsidRDefault="00AF4655" w:rsidP="00402023">
      <w:pPr>
        <w:numPr>
          <w:ilvl w:val="0"/>
          <w:numId w:val="21"/>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Network anomalies</w:t>
      </w:r>
    </w:p>
    <w:p w:rsidR="00AF4655" w:rsidRPr="00AF4655" w:rsidRDefault="00AF4655" w:rsidP="00402023">
      <w:pPr>
        <w:numPr>
          <w:ilvl w:val="0"/>
          <w:numId w:val="21"/>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 xml:space="preserve">Suspicious </w:t>
      </w:r>
      <w:proofErr w:type="spellStart"/>
      <w:r w:rsidRPr="00AF4655">
        <w:rPr>
          <w:rFonts w:ascii="Cambria" w:hAnsi="Cambria"/>
          <w:sz w:val="20"/>
          <w:szCs w:val="20"/>
        </w:rPr>
        <w:t>behaviors</w:t>
      </w:r>
      <w:proofErr w:type="spellEnd"/>
    </w:p>
    <w:p w:rsidR="00AF4655" w:rsidRPr="00AF4655" w:rsidRDefault="00AF4655" w:rsidP="00402023">
      <w:pPr>
        <w:numPr>
          <w:ilvl w:val="0"/>
          <w:numId w:val="21"/>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Potential cyber threats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This capability strengthens organizational cybersecurity posture.</w:t>
      </w:r>
    </w:p>
    <w:p w:rsidR="00AF4655" w:rsidRPr="00AF4655" w:rsidRDefault="00AF4655" w:rsidP="00AF4655">
      <w:pPr>
        <w:spacing w:line="276" w:lineRule="auto"/>
        <w:jc w:val="both"/>
        <w:rPr>
          <w:rFonts w:ascii="Cambria" w:hAnsi="Cambria"/>
          <w:sz w:val="20"/>
          <w:szCs w:val="20"/>
        </w:rPr>
      </w:pPr>
    </w:p>
    <w:p w:rsidR="00AF4655" w:rsidRPr="00802DA3" w:rsidRDefault="00AF4655" w:rsidP="00AF4655">
      <w:pPr>
        <w:pStyle w:val="Heading2"/>
        <w:spacing w:line="276" w:lineRule="auto"/>
        <w:jc w:val="both"/>
        <w:rPr>
          <w:rFonts w:ascii="Cambria" w:hAnsi="Cambria"/>
          <w:b/>
          <w:bCs/>
          <w:color w:val="000000" w:themeColor="text1"/>
          <w:sz w:val="20"/>
          <w:szCs w:val="20"/>
        </w:rPr>
      </w:pPr>
      <w:r w:rsidRPr="00802DA3">
        <w:rPr>
          <w:rFonts w:ascii="Cambria" w:hAnsi="Cambria"/>
          <w:b/>
          <w:bCs/>
          <w:color w:val="000000" w:themeColor="text1"/>
          <w:sz w:val="20"/>
          <w:szCs w:val="20"/>
        </w:rPr>
        <w:t>3.10 Scalability Mechanisms within the Proposed Framework</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Scalability emerges through the interaction of multiple architectural components rather than any single technological solution.</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framework supports scalability through:</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Horizontal Service Scaling</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Individual microservices can be replicated based on demand.</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Database Scalability</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Distributed data architectures support large patient populations.</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Cloud Resource Elasticity</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Computational resources expand automatically during peak demand periods.</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Modular System Expansion</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New clinical services can be integrated without redesigning the entire platform.</w:t>
      </w:r>
    </w:p>
    <w:p w:rsidR="00AF4655" w:rsidRPr="00AF4655" w:rsidRDefault="00AF4655" w:rsidP="00AF4655">
      <w:pPr>
        <w:pStyle w:val="Heading3"/>
        <w:spacing w:line="276" w:lineRule="auto"/>
        <w:jc w:val="both"/>
        <w:rPr>
          <w:rFonts w:ascii="Cambria" w:hAnsi="Cambria"/>
          <w:b/>
          <w:bCs/>
          <w:color w:val="000000" w:themeColor="text1"/>
          <w:sz w:val="20"/>
          <w:szCs w:val="20"/>
        </w:rPr>
      </w:pPr>
      <w:r w:rsidRPr="00AF4655">
        <w:rPr>
          <w:rFonts w:ascii="Cambria" w:hAnsi="Cambria"/>
          <w:b/>
          <w:bCs/>
          <w:color w:val="000000" w:themeColor="text1"/>
          <w:sz w:val="20"/>
          <w:szCs w:val="20"/>
        </w:rPr>
        <w:t>Interoperability Expansion</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Additional healthcare partners can be connected through standardized APIs.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 xml:space="preserve">Consistent with </w:t>
      </w:r>
      <w:proofErr w:type="spellStart"/>
      <w:r w:rsidRPr="00AF4655">
        <w:rPr>
          <w:rFonts w:ascii="Cambria" w:hAnsi="Cambria"/>
          <w:sz w:val="20"/>
          <w:szCs w:val="20"/>
        </w:rPr>
        <w:t>Akerele</w:t>
      </w:r>
      <w:proofErr w:type="spellEnd"/>
      <w:r w:rsidRPr="00AF4655">
        <w:rPr>
          <w:rFonts w:ascii="Cambria" w:hAnsi="Cambria"/>
          <w:sz w:val="20"/>
          <w:szCs w:val="20"/>
        </w:rPr>
        <w:t xml:space="preserve"> et al. (2024), scalability is therefore conceptualized as a multidimensional organizational capability encompassing infrastructure, applications, data management, and service delivery.</w:t>
      </w:r>
    </w:p>
    <w:p w:rsidR="00AF4655" w:rsidRPr="00802DA3" w:rsidRDefault="00AF4655" w:rsidP="00AF4655">
      <w:pPr>
        <w:pStyle w:val="Heading2"/>
        <w:spacing w:line="276" w:lineRule="auto"/>
        <w:jc w:val="both"/>
        <w:rPr>
          <w:rFonts w:ascii="Cambria" w:hAnsi="Cambria"/>
          <w:b/>
          <w:bCs/>
          <w:color w:val="000000" w:themeColor="text1"/>
          <w:sz w:val="20"/>
          <w:szCs w:val="20"/>
        </w:rPr>
      </w:pPr>
      <w:r w:rsidRPr="00802DA3">
        <w:rPr>
          <w:rFonts w:ascii="Cambria" w:hAnsi="Cambria"/>
          <w:b/>
          <w:bCs/>
          <w:color w:val="000000" w:themeColor="text1"/>
          <w:sz w:val="20"/>
          <w:szCs w:val="20"/>
        </w:rPr>
        <w:t>3.11 Conceptual Framework Outcome</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proposed framework establishes a technology ecosystem capable of supporting:</w:t>
      </w:r>
    </w:p>
    <w:p w:rsidR="00AF4655" w:rsidRPr="00AF4655" w:rsidRDefault="00AF4655" w:rsidP="00402023">
      <w:pPr>
        <w:numPr>
          <w:ilvl w:val="0"/>
          <w:numId w:val="22"/>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 xml:space="preserve">Large-scale </w:t>
      </w:r>
      <w:proofErr w:type="spellStart"/>
      <w:r w:rsidRPr="00AF4655">
        <w:rPr>
          <w:rFonts w:ascii="Cambria" w:hAnsi="Cambria"/>
          <w:sz w:val="20"/>
          <w:szCs w:val="20"/>
        </w:rPr>
        <w:t>behavioral</w:t>
      </w:r>
      <w:proofErr w:type="spellEnd"/>
      <w:r w:rsidRPr="00AF4655">
        <w:rPr>
          <w:rFonts w:ascii="Cambria" w:hAnsi="Cambria"/>
          <w:sz w:val="20"/>
          <w:szCs w:val="20"/>
        </w:rPr>
        <w:t xml:space="preserve"> healthcare operations</w:t>
      </w:r>
    </w:p>
    <w:p w:rsidR="00AF4655" w:rsidRPr="00AF4655" w:rsidRDefault="00AF4655" w:rsidP="00402023">
      <w:pPr>
        <w:numPr>
          <w:ilvl w:val="0"/>
          <w:numId w:val="22"/>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Interoperable clinical workflows</w:t>
      </w:r>
    </w:p>
    <w:p w:rsidR="00AF4655" w:rsidRPr="00AF4655" w:rsidRDefault="00AF4655" w:rsidP="00402023">
      <w:pPr>
        <w:numPr>
          <w:ilvl w:val="0"/>
          <w:numId w:val="22"/>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Predictive healthcare analytics</w:t>
      </w:r>
    </w:p>
    <w:p w:rsidR="00AF4655" w:rsidRPr="00AF4655" w:rsidRDefault="00AF4655" w:rsidP="00402023">
      <w:pPr>
        <w:numPr>
          <w:ilvl w:val="0"/>
          <w:numId w:val="22"/>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Cloud-based service delivery</w:t>
      </w:r>
    </w:p>
    <w:p w:rsidR="00AF4655" w:rsidRPr="00AF4655" w:rsidRDefault="00AF4655" w:rsidP="00402023">
      <w:pPr>
        <w:numPr>
          <w:ilvl w:val="0"/>
          <w:numId w:val="22"/>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Regulatory compliance</w:t>
      </w:r>
    </w:p>
    <w:p w:rsidR="00AF4655" w:rsidRPr="00AF4655" w:rsidRDefault="00AF4655" w:rsidP="00402023">
      <w:pPr>
        <w:numPr>
          <w:ilvl w:val="0"/>
          <w:numId w:val="22"/>
        </w:numPr>
        <w:spacing w:before="100" w:beforeAutospacing="1" w:after="100" w:afterAutospacing="1" w:line="276" w:lineRule="auto"/>
        <w:jc w:val="both"/>
        <w:rPr>
          <w:rFonts w:ascii="Cambria" w:hAnsi="Cambria"/>
          <w:sz w:val="20"/>
          <w:szCs w:val="20"/>
        </w:rPr>
      </w:pPr>
      <w:r w:rsidRPr="00AF4655">
        <w:rPr>
          <w:rFonts w:ascii="Cambria" w:hAnsi="Cambria"/>
          <w:sz w:val="20"/>
          <w:szCs w:val="20"/>
        </w:rPr>
        <w:t>Long-term technological adaptability</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Unlike conventional EMR architectures, the framework integrates scalability considerations into every architectural layer rather than treating scalability as a post-implementation enhancement.</w:t>
      </w:r>
    </w:p>
    <w:p w:rsidR="00AF4655" w:rsidRPr="00AF4655" w:rsidRDefault="00AF4655" w:rsidP="00AF4655">
      <w:pPr>
        <w:pStyle w:val="NormalWeb"/>
        <w:spacing w:line="276" w:lineRule="auto"/>
        <w:jc w:val="both"/>
        <w:rPr>
          <w:rFonts w:ascii="Cambria" w:hAnsi="Cambria"/>
          <w:sz w:val="20"/>
          <w:szCs w:val="20"/>
        </w:rPr>
      </w:pPr>
      <w:r w:rsidRPr="00AF4655">
        <w:rPr>
          <w:rFonts w:ascii="Cambria" w:hAnsi="Cambria"/>
          <w:sz w:val="20"/>
          <w:szCs w:val="20"/>
        </w:rPr>
        <w:t xml:space="preserve">This integrated perspective positions behavioral healthcare organizations to address future demands associated with digital health transformation, </w:t>
      </w:r>
      <w:r w:rsidRPr="00AF4655">
        <w:rPr>
          <w:rFonts w:ascii="Cambria" w:hAnsi="Cambria"/>
          <w:sz w:val="20"/>
          <w:szCs w:val="20"/>
        </w:rPr>
        <w:lastRenderedPageBreak/>
        <w:t>telemedicine growth, population health management, and artificial intelligence integration.</w:t>
      </w:r>
    </w:p>
    <w:p w:rsidR="00AF4655" w:rsidRPr="00AF4655" w:rsidRDefault="00AF4655" w:rsidP="00AF4655">
      <w:pPr>
        <w:pStyle w:val="Heading1"/>
        <w:spacing w:line="276" w:lineRule="auto"/>
        <w:jc w:val="both"/>
        <w:rPr>
          <w:rFonts w:ascii="Cambria" w:hAnsi="Cambria"/>
          <w:sz w:val="20"/>
          <w:szCs w:val="20"/>
        </w:rPr>
      </w:pPr>
      <w:r w:rsidRPr="00AF4655">
        <w:rPr>
          <w:rFonts w:ascii="Cambria" w:hAnsi="Cambria"/>
          <w:sz w:val="20"/>
          <w:szCs w:val="20"/>
        </w:rPr>
        <w:t>4. Results / Findings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literature synthesis and framework development process reveal several significant findings regarding scalable EMR architecture within behavioral healthcare environments.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First, architectural modularity emerged as the most consistently identified factor influencing scalability. Studies examining microservices and modular healthcare architectures demonstrated that decomposing complex healthcare systems into independent service components improves operational flexibility, deployment efficiency, and resource optimization (</w:t>
      </w:r>
      <w:proofErr w:type="spellStart"/>
      <w:r w:rsidRPr="00AF4655">
        <w:rPr>
          <w:rFonts w:ascii="Cambria" w:hAnsi="Cambria"/>
          <w:sz w:val="20"/>
          <w:szCs w:val="20"/>
        </w:rPr>
        <w:t>Akerele</w:t>
      </w:r>
      <w:proofErr w:type="spellEnd"/>
      <w:r w:rsidRPr="00AF4655">
        <w:rPr>
          <w:rFonts w:ascii="Cambria" w:hAnsi="Cambria"/>
          <w:sz w:val="20"/>
          <w:szCs w:val="20"/>
        </w:rPr>
        <w:t xml:space="preserve"> et al., 2024; </w:t>
      </w:r>
      <w:proofErr w:type="spellStart"/>
      <w:r w:rsidRPr="00AF4655">
        <w:rPr>
          <w:rFonts w:ascii="Cambria" w:hAnsi="Cambria"/>
          <w:sz w:val="20"/>
          <w:szCs w:val="20"/>
        </w:rPr>
        <w:t>Bathelt</w:t>
      </w:r>
      <w:proofErr w:type="spellEnd"/>
      <w:r w:rsidRPr="00AF4655">
        <w:rPr>
          <w:rFonts w:ascii="Cambria" w:hAnsi="Cambria"/>
          <w:sz w:val="20"/>
          <w:szCs w:val="20"/>
        </w:rPr>
        <w:t xml:space="preserve"> et al., 2025; Calderón-Gómez et al., 2021). The proposed framework incorporates this principle through independently deployable clinical services capable of scaling according to workload demands.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 xml:space="preserve">Second, interoperability was identified as a foundational requirement rather than an auxiliary capability. The reviewed literature consistently emphasized that fragmented information systems continue to impede healthcare coordination and clinical efficiency (Anand et al., 2023; </w:t>
      </w:r>
      <w:proofErr w:type="spellStart"/>
      <w:r w:rsidRPr="00AF4655">
        <w:rPr>
          <w:rFonts w:ascii="Cambria" w:hAnsi="Cambria"/>
          <w:sz w:val="20"/>
          <w:szCs w:val="20"/>
        </w:rPr>
        <w:t>Torab-Miandoab</w:t>
      </w:r>
      <w:proofErr w:type="spellEnd"/>
      <w:r w:rsidRPr="00AF4655">
        <w:rPr>
          <w:rFonts w:ascii="Cambria" w:hAnsi="Cambria"/>
          <w:sz w:val="20"/>
          <w:szCs w:val="20"/>
        </w:rPr>
        <w:t xml:space="preserve"> et al., 2023). FHIR-based integration mechanisms were repeatedly recognized as effective solutions for supporting standardized information exchange across heterogeneous healthcare environments. Consequently, interoperability was positioned as a dedicated architectural layer within the framework.</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Third, cloud-native infrastructure demonstrated substantial advantages for healthcare scalability. Cloud deployment models enable elastic resource allocation, automated service management, and operational resilience. The literature indicates that cloud-native healthcare systems can accommodate fluctuating workloads more effectively than traditional on-premises architectures while supporting future technological expansion (Cloud-native applications in healthcare IT, 2025). This finding directly informed the inclusion of containerized deployment and orchestration mechanisms within the proposed framework.</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 xml:space="preserve">Fourth, usability considerations emerged as critical determinants of EMR effectiveness. Technical performance alone does not ensure successful </w:t>
      </w:r>
      <w:r w:rsidRPr="00AF4655">
        <w:rPr>
          <w:rFonts w:ascii="Cambria" w:hAnsi="Cambria"/>
          <w:sz w:val="20"/>
          <w:szCs w:val="20"/>
        </w:rPr>
        <w:t>implementation outcomes. Holmgren et al. (2024) demonstrated meaningful relationships between EMR usability, clinician satisfaction, and burnout. The proposed framework therefore integrates usability requirements into the user interaction layer to support clinician productivity and workflow efficiency.</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Fifth, behavioral healthcare increasingly requires advanced analytical capabilities. Research involving machine learning applications within behavioral health environments demonstrates the growing importance of predictive analytics for clinical decision-making and patient management (</w:t>
      </w:r>
      <w:proofErr w:type="spellStart"/>
      <w:r w:rsidRPr="00AF4655">
        <w:rPr>
          <w:rFonts w:ascii="Cambria" w:hAnsi="Cambria"/>
          <w:sz w:val="20"/>
          <w:szCs w:val="20"/>
        </w:rPr>
        <w:t>Jagarlamudi</w:t>
      </w:r>
      <w:proofErr w:type="spellEnd"/>
      <w:r w:rsidRPr="00AF4655">
        <w:rPr>
          <w:rFonts w:ascii="Cambria" w:hAnsi="Cambria"/>
          <w:sz w:val="20"/>
          <w:szCs w:val="20"/>
        </w:rPr>
        <w:t>, 2025). Consequently, the framework incorporates analytics-ready data pipelines and dedicated analytical services capable of supporting future artificial intelligence applications.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Sixth, security and governance requirements remain inseparable from scalability objectives. As healthcare organizations expand digital operations, cybersecurity risks increase correspondingly. The literature highlights the necessity of integrating governance structures, encryption mechanisms, access controls, and compliance frameworks into healthcare architectures from the outset (</w:t>
      </w:r>
      <w:proofErr w:type="spellStart"/>
      <w:r w:rsidRPr="00AF4655">
        <w:rPr>
          <w:rFonts w:ascii="Cambria" w:hAnsi="Cambria"/>
          <w:sz w:val="20"/>
          <w:szCs w:val="20"/>
        </w:rPr>
        <w:t>Jagarlamudi</w:t>
      </w:r>
      <w:proofErr w:type="spellEnd"/>
      <w:r w:rsidRPr="00AF4655">
        <w:rPr>
          <w:rFonts w:ascii="Cambria" w:hAnsi="Cambria"/>
          <w:sz w:val="20"/>
          <w:szCs w:val="20"/>
        </w:rPr>
        <w:t xml:space="preserve"> &amp; </w:t>
      </w:r>
      <w:proofErr w:type="spellStart"/>
      <w:r w:rsidRPr="00AF4655">
        <w:rPr>
          <w:rFonts w:ascii="Cambria" w:hAnsi="Cambria"/>
          <w:sz w:val="20"/>
          <w:szCs w:val="20"/>
        </w:rPr>
        <w:t>Pedarla</w:t>
      </w:r>
      <w:proofErr w:type="spellEnd"/>
      <w:r w:rsidRPr="00AF4655">
        <w:rPr>
          <w:rFonts w:ascii="Cambria" w:hAnsi="Cambria"/>
          <w:sz w:val="20"/>
          <w:szCs w:val="20"/>
        </w:rPr>
        <w:t>, 2025). Therefore, security functions were embedded across all architectural layers rather than isolated as standalone controls.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 xml:space="preserve">The final finding concerns the multidimensional nature of scalability itself. The reviewed studies collectively suggest that scalability extends beyond infrastructure expansion. Effective healthcare scalability involves coordinated growth across applications, data management, interoperability networks, security controls, and organizational workflows. This observation aligns strongly with the perspective advanced by </w:t>
      </w:r>
      <w:proofErr w:type="spellStart"/>
      <w:r w:rsidRPr="00AF4655">
        <w:rPr>
          <w:rFonts w:ascii="Cambria" w:hAnsi="Cambria"/>
          <w:sz w:val="20"/>
          <w:szCs w:val="20"/>
        </w:rPr>
        <w:t>Akerele</w:t>
      </w:r>
      <w:proofErr w:type="spellEnd"/>
      <w:r w:rsidRPr="00AF4655">
        <w:rPr>
          <w:rFonts w:ascii="Cambria" w:hAnsi="Cambria"/>
          <w:sz w:val="20"/>
          <w:szCs w:val="20"/>
        </w:rPr>
        <w:t xml:space="preserve"> et al. (2024), who characterize healthcare scalability as a comprehensive organizational capability rather than a purely technical attribute.</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Overall, the proposed framework synthesizes these findings into an integrated architecture capable of supporting current and future behavioral healthcare information management requirements.</w:t>
      </w:r>
    </w:p>
    <w:p w:rsidR="00AF4655" w:rsidRPr="00AF4655" w:rsidRDefault="00AF4655" w:rsidP="00AF4655">
      <w:pPr>
        <w:pStyle w:val="Heading1"/>
        <w:spacing w:line="276" w:lineRule="auto"/>
        <w:jc w:val="both"/>
        <w:rPr>
          <w:rFonts w:ascii="Cambria" w:hAnsi="Cambria"/>
          <w:sz w:val="20"/>
          <w:szCs w:val="20"/>
        </w:rPr>
      </w:pPr>
      <w:r w:rsidRPr="00AF4655">
        <w:rPr>
          <w:rFonts w:ascii="Cambria" w:hAnsi="Cambria"/>
          <w:sz w:val="20"/>
          <w:szCs w:val="20"/>
        </w:rPr>
        <w:t>5. Discussion</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 xml:space="preserve">The findings indicate that next-generation behavioral healthcare EMRs require a fundamental departure from traditional monolithic system architectures. The increasing complexity of healthcare delivery, expanding </w:t>
      </w:r>
      <w:r w:rsidRPr="00AF4655">
        <w:rPr>
          <w:rFonts w:ascii="Cambria" w:hAnsi="Cambria"/>
          <w:sz w:val="20"/>
          <w:szCs w:val="20"/>
        </w:rPr>
        <w:lastRenderedPageBreak/>
        <w:t>telehealth adoption, interoperability mandates, and analytics requirements collectively necessitate more adaptable technological infrastructures.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A major contribution of the proposed framework is its recognition that scalability is a systemic property emerging from multiple interacting architectural components. Previous healthcare systems frequently approached scalability through hardware upgrades or database optimization alone. However, the reviewed literature demonstrates that sustainable scalability depends on modularity, interoperability, cloud readiness, and governance integration (</w:t>
      </w:r>
      <w:proofErr w:type="spellStart"/>
      <w:r w:rsidRPr="00AF4655">
        <w:rPr>
          <w:rFonts w:ascii="Cambria" w:hAnsi="Cambria"/>
          <w:sz w:val="20"/>
          <w:szCs w:val="20"/>
        </w:rPr>
        <w:t>Akerele</w:t>
      </w:r>
      <w:proofErr w:type="spellEnd"/>
      <w:r w:rsidRPr="00AF4655">
        <w:rPr>
          <w:rFonts w:ascii="Cambria" w:hAnsi="Cambria"/>
          <w:sz w:val="20"/>
          <w:szCs w:val="20"/>
        </w:rPr>
        <w:t xml:space="preserve"> et al., 2024; </w:t>
      </w:r>
      <w:proofErr w:type="spellStart"/>
      <w:r w:rsidRPr="00AF4655">
        <w:rPr>
          <w:rFonts w:ascii="Cambria" w:hAnsi="Cambria"/>
          <w:sz w:val="20"/>
          <w:szCs w:val="20"/>
        </w:rPr>
        <w:t>Bathelt</w:t>
      </w:r>
      <w:proofErr w:type="spellEnd"/>
      <w:r w:rsidRPr="00AF4655">
        <w:rPr>
          <w:rFonts w:ascii="Cambria" w:hAnsi="Cambria"/>
          <w:sz w:val="20"/>
          <w:szCs w:val="20"/>
        </w:rPr>
        <w:t xml:space="preserve"> et al., 2025). By incorporating these dimensions simultaneously, the framework provides a more comprehensive approach to healthcare system evolution.</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framework also advances current understanding of behavioral healthcare informatics by emphasizing the unique characteristics of mental health service delivery. Unlike many acute-care environments, behavioral healthcare often involves extensive longitudinal documentation, multidisciplinary collaboration, and sensitive patient information. These characteristics create specialized requirements that generic EMR architectures may not adequately address. The proposed model therefore adapts broader healthcare technology principles to the specific operational realities of behavioral healthcare settings.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findings further reinforce the strategic importance of interoperability. Although FHIR adoption continues to expand, organizational and technical barriers remain significant (</w:t>
      </w:r>
      <w:proofErr w:type="spellStart"/>
      <w:r w:rsidRPr="00AF4655">
        <w:rPr>
          <w:rFonts w:ascii="Cambria" w:hAnsi="Cambria"/>
          <w:sz w:val="20"/>
          <w:szCs w:val="20"/>
        </w:rPr>
        <w:t>Torab-Miandoab</w:t>
      </w:r>
      <w:proofErr w:type="spellEnd"/>
      <w:r w:rsidRPr="00AF4655">
        <w:rPr>
          <w:rFonts w:ascii="Cambria" w:hAnsi="Cambria"/>
          <w:sz w:val="20"/>
          <w:szCs w:val="20"/>
        </w:rPr>
        <w:t xml:space="preserve"> et al., 2023). The proposed framework addresses this challenge by positioning interoperability as a core architectural layer. This approach acknowledges that healthcare organizations increasingly function within interconnected digital ecosystems where information exchange directly influences care quality and operational efficiency.</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Another important implication concerns the relationship between usability and scalability. Healthcare technology discussions frequently prioritize infrastructure performance while overlooking human factors. The evidence presented by Holmgren et al. (2024) suggests that poorly designed systems can undermine clinical productivity regardless of technical sophistication. Therefore, scalability initiatives should be evaluated not only according to computational performance but also according to their effects on clinician experience.</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From a practical perspective, the framework offers healthcare organizations a roadmap for phased modernization. Rather than replacing entire EMR systems simultaneously, organizations may incrementally adopt microservices, interoperability standards, cloud infrastructure, and analytics capabilities. This modular implementation strategy reduces transition risks while enabling continuous improvement.</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Despite its contributions, the study has limitations. The framework is conceptual and derived from literature synthesis rather than empirical implementation. Consequently, performance outcomes remain theoretically grounded. Future studies should evaluate the framework through case studies, pilot deployments, simulation models, and comparative implementation analyses. Additional research should also investigate cost-benefit considerations, organizational readiness factors, and artificial intelligence integration strategies within behavioral healthcare environments.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Nevertheless, the framework provides a theoretically informed and practically relevant foundation for addressing contemporary behavioral healthcare information management challenges.</w:t>
      </w:r>
    </w:p>
    <w:p w:rsidR="00AF4655" w:rsidRPr="00AF4655" w:rsidRDefault="00AF4655" w:rsidP="00AF4655">
      <w:pPr>
        <w:pStyle w:val="Heading1"/>
        <w:spacing w:line="276" w:lineRule="auto"/>
        <w:jc w:val="both"/>
        <w:rPr>
          <w:rFonts w:ascii="Cambria" w:hAnsi="Cambria"/>
          <w:sz w:val="20"/>
          <w:szCs w:val="20"/>
        </w:rPr>
      </w:pPr>
      <w:r w:rsidRPr="00AF4655">
        <w:rPr>
          <w:rFonts w:ascii="Cambria" w:hAnsi="Cambria"/>
          <w:sz w:val="20"/>
          <w:szCs w:val="20"/>
        </w:rPr>
        <w:t>6. Conclusion</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Behavioral healthcare organizations face growing demands for scalable, interoperable, secure, and analytics-enabled Electronic Medical Record systems. Traditional monolithic architectures increasingly struggle to accommodate expanding patient populations, telehealth services, regulatory requirements, and advanced analytical applications. As a result, healthcare providers require architectural approaches capable of supporting long-term technological evolution.</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This research-review study synthesized current literature concerning healthcare scalability, microservices architecture, interoperability standards, cloud-native computing, cybersecurity, usability, and behavioral health informatics. Based on this synthesis, a robust framework for scalable behavioral healthcare EMRs was proposed. The framework integrates six architectural layers: user interaction, clinical services, interoperability, data management, cloud infrastructure, and governance/security.</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 xml:space="preserve">The findings demonstrate that scalability is not solely an infrastructure challenge but a multidimensional </w:t>
      </w:r>
      <w:r w:rsidRPr="00AF4655">
        <w:rPr>
          <w:rFonts w:ascii="Cambria" w:hAnsi="Cambria"/>
          <w:sz w:val="20"/>
          <w:szCs w:val="20"/>
        </w:rPr>
        <w:lastRenderedPageBreak/>
        <w:t>organizational capability encompassing technology, workflows, interoperability, governance, and user experience. Microservices architecture, highlighted repeatedly in the literature, provides a particularly effective mechanism for achieving operational flexibility and sustainable scalability (</w:t>
      </w:r>
      <w:proofErr w:type="spellStart"/>
      <w:r w:rsidRPr="00AF4655">
        <w:rPr>
          <w:rFonts w:ascii="Cambria" w:hAnsi="Cambria"/>
          <w:sz w:val="20"/>
          <w:szCs w:val="20"/>
        </w:rPr>
        <w:t>Akerele</w:t>
      </w:r>
      <w:proofErr w:type="spellEnd"/>
      <w:r w:rsidRPr="00AF4655">
        <w:rPr>
          <w:rFonts w:ascii="Cambria" w:hAnsi="Cambria"/>
          <w:sz w:val="20"/>
          <w:szCs w:val="20"/>
        </w:rPr>
        <w:t xml:space="preserve"> et al., 2024). Similarly, FHIR-based interoperability, cloud-native deployment models, and integrated security architectures emerge as essential components of future-ready healthcare information systems.</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The proposed framework contributes to healthcare informatics scholarship by integrating previously fragmented technological concepts into a coherent model specifically designed for behavioral healthcare environments. It also offers practical guidance for healthcare organizations seeking to modernize EMR infrastructures while maintaining compliance, usability, and operational resilience.</w:t>
      </w:r>
    </w:p>
    <w:p w:rsidR="00AF4655" w:rsidRPr="00AF4655" w:rsidRDefault="00AF4655" w:rsidP="00AF4655">
      <w:pPr>
        <w:pStyle w:val="isselectedend"/>
        <w:spacing w:line="276" w:lineRule="auto"/>
        <w:jc w:val="both"/>
        <w:rPr>
          <w:rFonts w:ascii="Cambria" w:hAnsi="Cambria"/>
          <w:sz w:val="20"/>
          <w:szCs w:val="20"/>
        </w:rPr>
      </w:pPr>
      <w:r w:rsidRPr="00AF4655">
        <w:rPr>
          <w:rFonts w:ascii="Cambria" w:hAnsi="Cambria"/>
          <w:sz w:val="20"/>
          <w:szCs w:val="20"/>
        </w:rPr>
        <w:t>Future research should empirically evaluate the framework through implementation studies, performance assessments, and organizational adoption analyses. Additional investigation into artificial intelligence integration, predictive analytics deployment, and emerging interoperability technologies will further enhance the evolution of behavioral healthcare information systems.</w:t>
      </w:r>
    </w:p>
    <w:p w:rsidR="007C668A" w:rsidRPr="007C668A" w:rsidRDefault="007C668A" w:rsidP="00AF4655">
      <w:pPr>
        <w:spacing w:before="240" w:line="276" w:lineRule="auto"/>
        <w:jc w:val="both"/>
        <w:rPr>
          <w:rFonts w:ascii="Cambria" w:hAnsi="Cambria" w:cstheme="minorHAnsi"/>
          <w:b/>
          <w:bCs/>
          <w:sz w:val="20"/>
          <w:szCs w:val="20"/>
          <w:lang w:eastAsia="en-IN"/>
        </w:rPr>
      </w:pPr>
      <w:r w:rsidRPr="007C668A">
        <w:rPr>
          <w:rFonts w:ascii="Cambria" w:hAnsi="Cambria" w:cstheme="minorHAnsi"/>
          <w:b/>
          <w:bCs/>
          <w:lang w:eastAsia="en-IN"/>
        </w:rPr>
        <w:t>REFERENCES</w:t>
      </w:r>
    </w:p>
    <w:p w:rsidR="00AF4655" w:rsidRPr="00802DA3" w:rsidRDefault="00AF4655" w:rsidP="00802DA3">
      <w:pPr>
        <w:numPr>
          <w:ilvl w:val="0"/>
          <w:numId w:val="23"/>
        </w:numPr>
        <w:tabs>
          <w:tab w:val="clear" w:pos="720"/>
          <w:tab w:val="num" w:pos="360"/>
        </w:tabs>
        <w:spacing w:before="100" w:beforeAutospacing="1" w:after="100" w:afterAutospacing="1" w:line="276" w:lineRule="auto"/>
        <w:ind w:left="360"/>
        <w:rPr>
          <w:rFonts w:ascii="Cambria" w:hAnsi="Cambria"/>
          <w:sz w:val="20"/>
          <w:szCs w:val="20"/>
        </w:rPr>
      </w:pPr>
      <w:proofErr w:type="spellStart"/>
      <w:r w:rsidRPr="00802DA3">
        <w:rPr>
          <w:rFonts w:ascii="Cambria" w:hAnsi="Cambria"/>
          <w:sz w:val="20"/>
          <w:szCs w:val="20"/>
        </w:rPr>
        <w:t>Akerele</w:t>
      </w:r>
      <w:proofErr w:type="spellEnd"/>
      <w:r w:rsidRPr="00802DA3">
        <w:rPr>
          <w:rFonts w:ascii="Cambria" w:hAnsi="Cambria"/>
          <w:sz w:val="20"/>
          <w:szCs w:val="20"/>
        </w:rPr>
        <w:t xml:space="preserve">, J. I., </w:t>
      </w:r>
      <w:proofErr w:type="spellStart"/>
      <w:r w:rsidRPr="00802DA3">
        <w:rPr>
          <w:rFonts w:ascii="Cambria" w:hAnsi="Cambria"/>
          <w:sz w:val="20"/>
          <w:szCs w:val="20"/>
        </w:rPr>
        <w:t>Uzoka</w:t>
      </w:r>
      <w:proofErr w:type="spellEnd"/>
      <w:r w:rsidRPr="00802DA3">
        <w:rPr>
          <w:rFonts w:ascii="Cambria" w:hAnsi="Cambria"/>
          <w:sz w:val="20"/>
          <w:szCs w:val="20"/>
        </w:rPr>
        <w:t xml:space="preserve">, A., Ojukwu, P. U., &amp; </w:t>
      </w:r>
      <w:proofErr w:type="spellStart"/>
      <w:r w:rsidRPr="00802DA3">
        <w:rPr>
          <w:rFonts w:ascii="Cambria" w:hAnsi="Cambria"/>
          <w:sz w:val="20"/>
          <w:szCs w:val="20"/>
        </w:rPr>
        <w:t>Olamijuwon</w:t>
      </w:r>
      <w:proofErr w:type="spellEnd"/>
      <w:r w:rsidRPr="00802DA3">
        <w:rPr>
          <w:rFonts w:ascii="Cambria" w:hAnsi="Cambria"/>
          <w:sz w:val="20"/>
          <w:szCs w:val="20"/>
        </w:rPr>
        <w:t>, O. J. (2024). Improving healthcare application scalability through microservices architecture in the cloud. International Journal of Scientific Research Updates, 8(2), 100–109.</w:t>
      </w:r>
    </w:p>
    <w:p w:rsidR="00AF4655" w:rsidRPr="00802DA3" w:rsidRDefault="00AF4655" w:rsidP="00802DA3">
      <w:pPr>
        <w:numPr>
          <w:ilvl w:val="0"/>
          <w:numId w:val="23"/>
        </w:numPr>
        <w:tabs>
          <w:tab w:val="clear" w:pos="720"/>
          <w:tab w:val="num" w:pos="360"/>
        </w:tabs>
        <w:spacing w:before="100" w:beforeAutospacing="1" w:after="100" w:afterAutospacing="1" w:line="276" w:lineRule="auto"/>
        <w:ind w:left="360"/>
        <w:rPr>
          <w:rFonts w:ascii="Cambria" w:hAnsi="Cambria"/>
          <w:sz w:val="20"/>
          <w:szCs w:val="20"/>
        </w:rPr>
      </w:pPr>
      <w:r w:rsidRPr="00802DA3">
        <w:rPr>
          <w:rFonts w:ascii="Cambria" w:hAnsi="Cambria"/>
          <w:sz w:val="20"/>
          <w:szCs w:val="20"/>
        </w:rPr>
        <w:t>Anand, G., Kumar, S., Sharma, B., &amp; Patel, D. (2023). Electronic health record interoperability using FHIR and blockchain: A bibliometric analysis and future perspective. Perspectives in Clinical Research.</w:t>
      </w:r>
    </w:p>
    <w:p w:rsidR="00AF4655" w:rsidRPr="00802DA3" w:rsidRDefault="00AF4655" w:rsidP="00802DA3">
      <w:pPr>
        <w:numPr>
          <w:ilvl w:val="0"/>
          <w:numId w:val="23"/>
        </w:numPr>
        <w:tabs>
          <w:tab w:val="clear" w:pos="720"/>
          <w:tab w:val="num" w:pos="360"/>
        </w:tabs>
        <w:spacing w:before="100" w:beforeAutospacing="1" w:after="100" w:afterAutospacing="1" w:line="276" w:lineRule="auto"/>
        <w:ind w:left="360"/>
        <w:rPr>
          <w:rFonts w:ascii="Cambria" w:hAnsi="Cambria"/>
          <w:sz w:val="20"/>
          <w:szCs w:val="20"/>
        </w:rPr>
      </w:pPr>
      <w:proofErr w:type="spellStart"/>
      <w:r w:rsidRPr="00802DA3">
        <w:rPr>
          <w:rFonts w:ascii="Cambria" w:hAnsi="Cambria"/>
          <w:sz w:val="20"/>
          <w:szCs w:val="20"/>
        </w:rPr>
        <w:t>Bathelt</w:t>
      </w:r>
      <w:proofErr w:type="spellEnd"/>
      <w:r w:rsidRPr="00802DA3">
        <w:rPr>
          <w:rFonts w:ascii="Cambria" w:hAnsi="Cambria"/>
          <w:sz w:val="20"/>
          <w:szCs w:val="20"/>
        </w:rPr>
        <w:t xml:space="preserve">, F., Lorenz, S., Weidner, J., </w:t>
      </w:r>
      <w:proofErr w:type="spellStart"/>
      <w:r w:rsidRPr="00802DA3">
        <w:rPr>
          <w:rFonts w:ascii="Cambria" w:hAnsi="Cambria"/>
          <w:sz w:val="20"/>
          <w:szCs w:val="20"/>
        </w:rPr>
        <w:t>Sedlmayr</w:t>
      </w:r>
      <w:proofErr w:type="spellEnd"/>
      <w:r w:rsidRPr="00802DA3">
        <w:rPr>
          <w:rFonts w:ascii="Cambria" w:hAnsi="Cambria"/>
          <w:sz w:val="20"/>
          <w:szCs w:val="20"/>
        </w:rPr>
        <w:t>, M., &amp; Reinecke, I. (2025). Application of modular architectures in the medical domain: A scoping review. Journal of Medical Systems, 49(1), 27.</w:t>
      </w:r>
    </w:p>
    <w:p w:rsidR="00AF4655" w:rsidRPr="00802DA3" w:rsidRDefault="00AF4655" w:rsidP="00802DA3">
      <w:pPr>
        <w:numPr>
          <w:ilvl w:val="0"/>
          <w:numId w:val="23"/>
        </w:numPr>
        <w:tabs>
          <w:tab w:val="clear" w:pos="720"/>
          <w:tab w:val="num" w:pos="360"/>
        </w:tabs>
        <w:spacing w:before="100" w:beforeAutospacing="1" w:after="100" w:afterAutospacing="1" w:line="276" w:lineRule="auto"/>
        <w:ind w:left="360"/>
        <w:rPr>
          <w:rFonts w:ascii="Cambria" w:hAnsi="Cambria"/>
          <w:sz w:val="20"/>
          <w:szCs w:val="20"/>
        </w:rPr>
      </w:pPr>
      <w:r w:rsidRPr="00802DA3">
        <w:rPr>
          <w:rFonts w:ascii="Cambria" w:hAnsi="Cambria"/>
          <w:sz w:val="20"/>
          <w:szCs w:val="20"/>
        </w:rPr>
        <w:t>Calderón-Gómez, H., Mendoza-</w:t>
      </w:r>
      <w:proofErr w:type="spellStart"/>
      <w:r w:rsidRPr="00802DA3">
        <w:rPr>
          <w:rFonts w:ascii="Cambria" w:hAnsi="Cambria"/>
          <w:sz w:val="20"/>
          <w:szCs w:val="20"/>
        </w:rPr>
        <w:t>Pittí</w:t>
      </w:r>
      <w:proofErr w:type="spellEnd"/>
      <w:r w:rsidRPr="00802DA3">
        <w:rPr>
          <w:rFonts w:ascii="Cambria" w:hAnsi="Cambria"/>
          <w:sz w:val="20"/>
          <w:szCs w:val="20"/>
        </w:rPr>
        <w:t>, L., &amp; Vargas-Lombardo, M. (2021). Evaluating service-oriented and microservice architecture patterns to deploy eHealth applications in cloud computing environment. Applied Sciences, 11(10), 4350.</w:t>
      </w:r>
    </w:p>
    <w:p w:rsidR="00AF4655" w:rsidRPr="00802DA3" w:rsidRDefault="00AF4655" w:rsidP="00802DA3">
      <w:pPr>
        <w:numPr>
          <w:ilvl w:val="0"/>
          <w:numId w:val="23"/>
        </w:numPr>
        <w:tabs>
          <w:tab w:val="clear" w:pos="720"/>
          <w:tab w:val="num" w:pos="360"/>
        </w:tabs>
        <w:spacing w:before="100" w:beforeAutospacing="1" w:after="100" w:afterAutospacing="1" w:line="276" w:lineRule="auto"/>
        <w:ind w:left="360"/>
        <w:rPr>
          <w:rFonts w:ascii="Cambria" w:hAnsi="Cambria"/>
          <w:sz w:val="20"/>
          <w:szCs w:val="20"/>
        </w:rPr>
      </w:pPr>
      <w:r w:rsidRPr="00802DA3">
        <w:rPr>
          <w:rFonts w:ascii="Cambria" w:hAnsi="Cambria"/>
          <w:sz w:val="20"/>
          <w:szCs w:val="20"/>
        </w:rPr>
        <w:t>Cloud-native applications in healthcare IT. (2025). International Journal for Research Trends in Social Sciences &amp; Humanities. (Unpublished).</w:t>
      </w:r>
    </w:p>
    <w:p w:rsidR="00AF4655" w:rsidRPr="00802DA3" w:rsidRDefault="00AF4655" w:rsidP="00802DA3">
      <w:pPr>
        <w:numPr>
          <w:ilvl w:val="0"/>
          <w:numId w:val="23"/>
        </w:numPr>
        <w:tabs>
          <w:tab w:val="clear" w:pos="720"/>
          <w:tab w:val="num" w:pos="360"/>
        </w:tabs>
        <w:spacing w:before="100" w:beforeAutospacing="1" w:after="100" w:afterAutospacing="1" w:line="276" w:lineRule="auto"/>
        <w:ind w:left="360"/>
        <w:rPr>
          <w:rFonts w:ascii="Cambria" w:hAnsi="Cambria"/>
          <w:sz w:val="20"/>
          <w:szCs w:val="20"/>
        </w:rPr>
      </w:pPr>
      <w:proofErr w:type="spellStart"/>
      <w:r w:rsidRPr="00802DA3">
        <w:rPr>
          <w:rFonts w:ascii="Cambria" w:hAnsi="Cambria"/>
          <w:sz w:val="20"/>
          <w:szCs w:val="20"/>
        </w:rPr>
        <w:t>Gopidasan</w:t>
      </w:r>
      <w:proofErr w:type="spellEnd"/>
      <w:r w:rsidRPr="00802DA3">
        <w:rPr>
          <w:rFonts w:ascii="Cambria" w:hAnsi="Cambria"/>
          <w:sz w:val="20"/>
          <w:szCs w:val="20"/>
        </w:rPr>
        <w:t>, B., Amanullah, S., &amp; Adebowale, A. (2022). Electronic medical records: A review of cost-effectiveness, efficiency, quality of care, and usability. Journal of Psychiatry Spectrum, 1(2), 76–79.</w:t>
      </w:r>
    </w:p>
    <w:p w:rsidR="00AF4655" w:rsidRPr="00802DA3" w:rsidRDefault="00AF4655" w:rsidP="00802DA3">
      <w:pPr>
        <w:numPr>
          <w:ilvl w:val="0"/>
          <w:numId w:val="23"/>
        </w:numPr>
        <w:tabs>
          <w:tab w:val="clear" w:pos="720"/>
          <w:tab w:val="num" w:pos="360"/>
        </w:tabs>
        <w:spacing w:before="100" w:beforeAutospacing="1" w:after="100" w:afterAutospacing="1" w:line="276" w:lineRule="auto"/>
        <w:ind w:left="360"/>
        <w:rPr>
          <w:rFonts w:ascii="Cambria" w:hAnsi="Cambria"/>
          <w:sz w:val="20"/>
          <w:szCs w:val="20"/>
        </w:rPr>
      </w:pPr>
      <w:r w:rsidRPr="00802DA3">
        <w:rPr>
          <w:rFonts w:ascii="Cambria" w:hAnsi="Cambria"/>
          <w:sz w:val="20"/>
          <w:szCs w:val="20"/>
        </w:rPr>
        <w:t>Holmgren, A. J., Hendrix, N., Maisel, N., Levin, R., Hsia, R., &amp; Adler-Milstein, J. (2024). Electronic health record usability, satisfaction, and burnout for family physicians. JAMA Network Open, 7(8), e2426956.</w:t>
      </w:r>
    </w:p>
    <w:p w:rsidR="00AF4655" w:rsidRPr="00802DA3" w:rsidRDefault="00AF4655" w:rsidP="00802DA3">
      <w:pPr>
        <w:numPr>
          <w:ilvl w:val="0"/>
          <w:numId w:val="23"/>
        </w:numPr>
        <w:tabs>
          <w:tab w:val="clear" w:pos="720"/>
          <w:tab w:val="num" w:pos="360"/>
        </w:tabs>
        <w:spacing w:before="100" w:beforeAutospacing="1" w:after="100" w:afterAutospacing="1" w:line="276" w:lineRule="auto"/>
        <w:ind w:left="360"/>
        <w:rPr>
          <w:rFonts w:ascii="Cambria" w:hAnsi="Cambria"/>
          <w:sz w:val="20"/>
          <w:szCs w:val="20"/>
        </w:rPr>
      </w:pPr>
      <w:proofErr w:type="spellStart"/>
      <w:r w:rsidRPr="00802DA3">
        <w:rPr>
          <w:rFonts w:ascii="Cambria" w:hAnsi="Cambria"/>
          <w:sz w:val="20"/>
          <w:szCs w:val="20"/>
        </w:rPr>
        <w:t>Jagarlamudi</w:t>
      </w:r>
      <w:proofErr w:type="spellEnd"/>
      <w:r w:rsidRPr="00802DA3">
        <w:rPr>
          <w:rFonts w:ascii="Cambria" w:hAnsi="Cambria"/>
          <w:sz w:val="20"/>
          <w:szCs w:val="20"/>
        </w:rPr>
        <w:t xml:space="preserve">, D. (2025). Predicting Opioid Treatment Program Dropout with Machine Learning on </w:t>
      </w:r>
      <w:proofErr w:type="spellStart"/>
      <w:r w:rsidRPr="00802DA3">
        <w:rPr>
          <w:rFonts w:ascii="Cambria" w:hAnsi="Cambria"/>
          <w:sz w:val="20"/>
          <w:szCs w:val="20"/>
        </w:rPr>
        <w:t>Behavioral</w:t>
      </w:r>
      <w:proofErr w:type="spellEnd"/>
      <w:r w:rsidRPr="00802DA3">
        <w:rPr>
          <w:rFonts w:ascii="Cambria" w:hAnsi="Cambria"/>
          <w:sz w:val="20"/>
          <w:szCs w:val="20"/>
        </w:rPr>
        <w:t xml:space="preserve"> Health EMR’s. International Journal of AI, </w:t>
      </w:r>
      <w:proofErr w:type="spellStart"/>
      <w:r w:rsidRPr="00802DA3">
        <w:rPr>
          <w:rFonts w:ascii="Cambria" w:hAnsi="Cambria"/>
          <w:sz w:val="20"/>
          <w:szCs w:val="20"/>
        </w:rPr>
        <w:t>BigData</w:t>
      </w:r>
      <w:proofErr w:type="spellEnd"/>
      <w:r w:rsidRPr="00802DA3">
        <w:rPr>
          <w:rFonts w:ascii="Cambria" w:hAnsi="Cambria"/>
          <w:sz w:val="20"/>
          <w:szCs w:val="20"/>
        </w:rPr>
        <w:t>, Computational and Management Studies, 6(4), 17-23.</w:t>
      </w:r>
    </w:p>
    <w:p w:rsidR="00AF4655" w:rsidRPr="00802DA3" w:rsidRDefault="00AF4655" w:rsidP="00802DA3">
      <w:pPr>
        <w:numPr>
          <w:ilvl w:val="0"/>
          <w:numId w:val="23"/>
        </w:numPr>
        <w:tabs>
          <w:tab w:val="clear" w:pos="720"/>
          <w:tab w:val="num" w:pos="360"/>
        </w:tabs>
        <w:spacing w:before="100" w:beforeAutospacing="1" w:after="100" w:afterAutospacing="1" w:line="276" w:lineRule="auto"/>
        <w:ind w:left="360"/>
        <w:rPr>
          <w:rFonts w:ascii="Cambria" w:hAnsi="Cambria"/>
          <w:sz w:val="20"/>
          <w:szCs w:val="20"/>
        </w:rPr>
      </w:pPr>
      <w:proofErr w:type="spellStart"/>
      <w:r w:rsidRPr="00802DA3">
        <w:rPr>
          <w:rFonts w:ascii="Cambria" w:hAnsi="Cambria"/>
          <w:sz w:val="20"/>
          <w:szCs w:val="20"/>
        </w:rPr>
        <w:t>Jagarlamudi</w:t>
      </w:r>
      <w:proofErr w:type="spellEnd"/>
      <w:r w:rsidRPr="00802DA3">
        <w:rPr>
          <w:rFonts w:ascii="Cambria" w:hAnsi="Cambria"/>
          <w:sz w:val="20"/>
          <w:szCs w:val="20"/>
        </w:rPr>
        <w:t xml:space="preserve">, D., &amp; </w:t>
      </w:r>
      <w:proofErr w:type="spellStart"/>
      <w:r w:rsidRPr="00802DA3">
        <w:rPr>
          <w:rFonts w:ascii="Cambria" w:hAnsi="Cambria"/>
          <w:sz w:val="20"/>
          <w:szCs w:val="20"/>
        </w:rPr>
        <w:t>Pedarla</w:t>
      </w:r>
      <w:proofErr w:type="spellEnd"/>
      <w:r w:rsidRPr="00802DA3">
        <w:rPr>
          <w:rFonts w:ascii="Cambria" w:hAnsi="Cambria"/>
          <w:sz w:val="20"/>
          <w:szCs w:val="20"/>
        </w:rPr>
        <w:t>, H. K. (2025). BAAs in the Cloud: Securing HIPAA-Compliant EMR Hosting. International Journal of Artificial Intelligence, Data Science, and Machine Learning, 6(4), 9-13.</w:t>
      </w:r>
    </w:p>
    <w:p w:rsidR="00AF4655" w:rsidRPr="00802DA3" w:rsidRDefault="00AF4655" w:rsidP="00802DA3">
      <w:pPr>
        <w:numPr>
          <w:ilvl w:val="0"/>
          <w:numId w:val="23"/>
        </w:numPr>
        <w:tabs>
          <w:tab w:val="clear" w:pos="720"/>
          <w:tab w:val="num" w:pos="360"/>
        </w:tabs>
        <w:spacing w:before="100" w:beforeAutospacing="1" w:after="100" w:afterAutospacing="1" w:line="276" w:lineRule="auto"/>
        <w:ind w:left="360"/>
        <w:rPr>
          <w:rFonts w:ascii="Cambria" w:hAnsi="Cambria"/>
          <w:sz w:val="20"/>
          <w:szCs w:val="20"/>
        </w:rPr>
      </w:pPr>
      <w:proofErr w:type="spellStart"/>
      <w:r w:rsidRPr="00802DA3">
        <w:rPr>
          <w:rFonts w:ascii="Cambria" w:hAnsi="Cambria"/>
          <w:sz w:val="20"/>
          <w:szCs w:val="20"/>
        </w:rPr>
        <w:t>Kariotis</w:t>
      </w:r>
      <w:proofErr w:type="spellEnd"/>
      <w:r w:rsidRPr="00802DA3">
        <w:rPr>
          <w:rFonts w:ascii="Cambria" w:hAnsi="Cambria"/>
          <w:sz w:val="20"/>
          <w:szCs w:val="20"/>
        </w:rPr>
        <w:t xml:space="preserve">, T. C., </w:t>
      </w:r>
      <w:proofErr w:type="spellStart"/>
      <w:r w:rsidRPr="00802DA3">
        <w:rPr>
          <w:rFonts w:ascii="Cambria" w:hAnsi="Cambria"/>
          <w:sz w:val="20"/>
          <w:szCs w:val="20"/>
        </w:rPr>
        <w:t>Prictor</w:t>
      </w:r>
      <w:proofErr w:type="spellEnd"/>
      <w:r w:rsidRPr="00802DA3">
        <w:rPr>
          <w:rFonts w:ascii="Cambria" w:hAnsi="Cambria"/>
          <w:sz w:val="20"/>
          <w:szCs w:val="20"/>
        </w:rPr>
        <w:t xml:space="preserve">, M., Chang, S., &amp; </w:t>
      </w:r>
      <w:proofErr w:type="spellStart"/>
      <w:r w:rsidRPr="00802DA3">
        <w:rPr>
          <w:rFonts w:ascii="Cambria" w:hAnsi="Cambria"/>
          <w:sz w:val="20"/>
          <w:szCs w:val="20"/>
        </w:rPr>
        <w:t>Gray</w:t>
      </w:r>
      <w:proofErr w:type="spellEnd"/>
      <w:r w:rsidRPr="00802DA3">
        <w:rPr>
          <w:rFonts w:ascii="Cambria" w:hAnsi="Cambria"/>
          <w:sz w:val="20"/>
          <w:szCs w:val="20"/>
        </w:rPr>
        <w:t>, K. (2022). Impact of electronic health records on information practices in mental health contexts: Scoping review. Journal of Medical Internet Research, 24(5), e30405.</w:t>
      </w:r>
    </w:p>
    <w:p w:rsidR="00AF4655" w:rsidRPr="00802DA3" w:rsidRDefault="00AF4655" w:rsidP="00802DA3">
      <w:pPr>
        <w:numPr>
          <w:ilvl w:val="0"/>
          <w:numId w:val="23"/>
        </w:numPr>
        <w:tabs>
          <w:tab w:val="clear" w:pos="720"/>
          <w:tab w:val="num" w:pos="360"/>
        </w:tabs>
        <w:spacing w:before="100" w:beforeAutospacing="1" w:after="100" w:afterAutospacing="1" w:line="276" w:lineRule="auto"/>
        <w:ind w:left="360"/>
        <w:rPr>
          <w:rFonts w:ascii="Cambria" w:hAnsi="Cambria"/>
          <w:sz w:val="20"/>
          <w:szCs w:val="20"/>
        </w:rPr>
      </w:pPr>
      <w:r w:rsidRPr="00802DA3">
        <w:rPr>
          <w:rFonts w:ascii="Cambria" w:hAnsi="Cambria"/>
          <w:sz w:val="20"/>
          <w:szCs w:val="20"/>
        </w:rPr>
        <w:t>Negro-</w:t>
      </w:r>
      <w:proofErr w:type="spellStart"/>
      <w:r w:rsidRPr="00802DA3">
        <w:rPr>
          <w:rFonts w:ascii="Cambria" w:hAnsi="Cambria"/>
          <w:sz w:val="20"/>
          <w:szCs w:val="20"/>
        </w:rPr>
        <w:t>Calduch</w:t>
      </w:r>
      <w:proofErr w:type="spellEnd"/>
      <w:r w:rsidRPr="00802DA3">
        <w:rPr>
          <w:rFonts w:ascii="Cambria" w:hAnsi="Cambria"/>
          <w:sz w:val="20"/>
          <w:szCs w:val="20"/>
        </w:rPr>
        <w:t xml:space="preserve">, E., Azzopardi-Muscat, N., Krishnamurthy, R. S., &amp; </w:t>
      </w:r>
      <w:proofErr w:type="spellStart"/>
      <w:r w:rsidRPr="00802DA3">
        <w:rPr>
          <w:rFonts w:ascii="Cambria" w:hAnsi="Cambria"/>
          <w:sz w:val="20"/>
          <w:szCs w:val="20"/>
        </w:rPr>
        <w:t>Novillo</w:t>
      </w:r>
      <w:proofErr w:type="spellEnd"/>
      <w:r w:rsidRPr="00802DA3">
        <w:rPr>
          <w:rFonts w:ascii="Cambria" w:hAnsi="Cambria"/>
          <w:sz w:val="20"/>
          <w:szCs w:val="20"/>
        </w:rPr>
        <w:t>-Ortiz, D. (2021). Technological progress in electronic health record system optimization: Systematic review of systematic literature reviews. International Journal of Medical Informatics, 152, 104507.</w:t>
      </w:r>
    </w:p>
    <w:p w:rsidR="00AF4655" w:rsidRPr="00802DA3" w:rsidRDefault="00AF4655" w:rsidP="00802DA3">
      <w:pPr>
        <w:numPr>
          <w:ilvl w:val="0"/>
          <w:numId w:val="23"/>
        </w:numPr>
        <w:tabs>
          <w:tab w:val="clear" w:pos="720"/>
          <w:tab w:val="num" w:pos="360"/>
        </w:tabs>
        <w:spacing w:before="100" w:beforeAutospacing="1" w:after="100" w:afterAutospacing="1" w:line="276" w:lineRule="auto"/>
        <w:ind w:left="360"/>
        <w:rPr>
          <w:rFonts w:ascii="Cambria" w:hAnsi="Cambria"/>
          <w:sz w:val="20"/>
          <w:szCs w:val="20"/>
        </w:rPr>
      </w:pPr>
      <w:proofErr w:type="spellStart"/>
      <w:r w:rsidRPr="00802DA3">
        <w:rPr>
          <w:rFonts w:ascii="Cambria" w:hAnsi="Cambria"/>
          <w:sz w:val="20"/>
          <w:szCs w:val="20"/>
        </w:rPr>
        <w:t>Pimenta</w:t>
      </w:r>
      <w:proofErr w:type="spellEnd"/>
      <w:r w:rsidRPr="00802DA3">
        <w:rPr>
          <w:rFonts w:ascii="Cambria" w:hAnsi="Cambria"/>
          <w:sz w:val="20"/>
          <w:szCs w:val="20"/>
        </w:rPr>
        <w:t xml:space="preserve">, N., </w:t>
      </w:r>
      <w:proofErr w:type="spellStart"/>
      <w:r w:rsidRPr="00802DA3">
        <w:rPr>
          <w:rFonts w:ascii="Cambria" w:hAnsi="Cambria"/>
          <w:sz w:val="20"/>
          <w:szCs w:val="20"/>
        </w:rPr>
        <w:t>Chaves</w:t>
      </w:r>
      <w:proofErr w:type="spellEnd"/>
      <w:r w:rsidRPr="00802DA3">
        <w:rPr>
          <w:rFonts w:ascii="Cambria" w:hAnsi="Cambria"/>
          <w:sz w:val="20"/>
          <w:szCs w:val="20"/>
        </w:rPr>
        <w:t xml:space="preserve">, A., Sousa, R., </w:t>
      </w:r>
      <w:proofErr w:type="spellStart"/>
      <w:r w:rsidRPr="00802DA3">
        <w:rPr>
          <w:rFonts w:ascii="Cambria" w:hAnsi="Cambria"/>
          <w:sz w:val="20"/>
          <w:szCs w:val="20"/>
        </w:rPr>
        <w:t>Abelha</w:t>
      </w:r>
      <w:proofErr w:type="spellEnd"/>
      <w:r w:rsidRPr="00802DA3">
        <w:rPr>
          <w:rFonts w:ascii="Cambria" w:hAnsi="Cambria"/>
          <w:sz w:val="20"/>
          <w:szCs w:val="20"/>
        </w:rPr>
        <w:t>, A., &amp; Peixoto, H. (2023). Interoperability of clinical data through FHIR: A review. Procedia Computer Science, 220, 856–861.</w:t>
      </w:r>
    </w:p>
    <w:p w:rsidR="00AF4655" w:rsidRPr="00802DA3" w:rsidRDefault="00AF4655" w:rsidP="00802DA3">
      <w:pPr>
        <w:numPr>
          <w:ilvl w:val="0"/>
          <w:numId w:val="23"/>
        </w:numPr>
        <w:tabs>
          <w:tab w:val="clear" w:pos="720"/>
          <w:tab w:val="num" w:pos="360"/>
        </w:tabs>
        <w:spacing w:before="100" w:beforeAutospacing="1" w:after="100" w:afterAutospacing="1" w:line="276" w:lineRule="auto"/>
        <w:ind w:left="360"/>
        <w:rPr>
          <w:rFonts w:ascii="Cambria" w:hAnsi="Cambria"/>
          <w:sz w:val="20"/>
          <w:szCs w:val="20"/>
        </w:rPr>
      </w:pPr>
      <w:r w:rsidRPr="00802DA3">
        <w:rPr>
          <w:rFonts w:ascii="Cambria" w:hAnsi="Cambria"/>
          <w:sz w:val="20"/>
          <w:szCs w:val="20"/>
        </w:rPr>
        <w:t>Tabari, P. (2024). State-of-the-art Fast Healthcare Interoperability Resources (FHIR) for data models and structures. JMIR Medical Informatics, 12(1), e58445.</w:t>
      </w:r>
    </w:p>
    <w:p w:rsidR="00AF4655" w:rsidRPr="00802DA3" w:rsidRDefault="00AF4655" w:rsidP="00802DA3">
      <w:pPr>
        <w:numPr>
          <w:ilvl w:val="0"/>
          <w:numId w:val="23"/>
        </w:numPr>
        <w:tabs>
          <w:tab w:val="clear" w:pos="720"/>
          <w:tab w:val="num" w:pos="360"/>
        </w:tabs>
        <w:spacing w:before="100" w:beforeAutospacing="1" w:after="100" w:afterAutospacing="1" w:line="276" w:lineRule="auto"/>
        <w:ind w:left="360"/>
        <w:rPr>
          <w:rFonts w:ascii="Cambria" w:hAnsi="Cambria"/>
          <w:sz w:val="20"/>
          <w:szCs w:val="20"/>
        </w:rPr>
      </w:pPr>
      <w:proofErr w:type="spellStart"/>
      <w:r w:rsidRPr="00802DA3">
        <w:rPr>
          <w:rFonts w:ascii="Cambria" w:hAnsi="Cambria"/>
          <w:sz w:val="20"/>
          <w:szCs w:val="20"/>
        </w:rPr>
        <w:t>Torab-Miandoab</w:t>
      </w:r>
      <w:proofErr w:type="spellEnd"/>
      <w:r w:rsidRPr="00802DA3">
        <w:rPr>
          <w:rFonts w:ascii="Cambria" w:hAnsi="Cambria"/>
          <w:sz w:val="20"/>
          <w:szCs w:val="20"/>
        </w:rPr>
        <w:t>, A., Samad-</w:t>
      </w:r>
      <w:proofErr w:type="spellStart"/>
      <w:r w:rsidRPr="00802DA3">
        <w:rPr>
          <w:rFonts w:ascii="Cambria" w:hAnsi="Cambria"/>
          <w:sz w:val="20"/>
          <w:szCs w:val="20"/>
        </w:rPr>
        <w:t>Soltani</w:t>
      </w:r>
      <w:proofErr w:type="spellEnd"/>
      <w:r w:rsidRPr="00802DA3">
        <w:rPr>
          <w:rFonts w:ascii="Cambria" w:hAnsi="Cambria"/>
          <w:sz w:val="20"/>
          <w:szCs w:val="20"/>
        </w:rPr>
        <w:t xml:space="preserve">, T., </w:t>
      </w:r>
      <w:proofErr w:type="spellStart"/>
      <w:r w:rsidRPr="00802DA3">
        <w:rPr>
          <w:rFonts w:ascii="Cambria" w:hAnsi="Cambria"/>
          <w:sz w:val="20"/>
          <w:szCs w:val="20"/>
        </w:rPr>
        <w:t>Jodati</w:t>
      </w:r>
      <w:proofErr w:type="spellEnd"/>
      <w:r w:rsidRPr="00802DA3">
        <w:rPr>
          <w:rFonts w:ascii="Cambria" w:hAnsi="Cambria"/>
          <w:sz w:val="20"/>
          <w:szCs w:val="20"/>
        </w:rPr>
        <w:t>, A., &amp; Rezaei-</w:t>
      </w:r>
      <w:proofErr w:type="spellStart"/>
      <w:r w:rsidRPr="00802DA3">
        <w:rPr>
          <w:rFonts w:ascii="Cambria" w:hAnsi="Cambria"/>
          <w:sz w:val="20"/>
          <w:szCs w:val="20"/>
        </w:rPr>
        <w:t>Hachesu</w:t>
      </w:r>
      <w:proofErr w:type="spellEnd"/>
      <w:r w:rsidRPr="00802DA3">
        <w:rPr>
          <w:rFonts w:ascii="Cambria" w:hAnsi="Cambria"/>
          <w:sz w:val="20"/>
          <w:szCs w:val="20"/>
        </w:rPr>
        <w:t>, P. (2023). Interoperability of heterogeneous health information systems: A systematic literature review. BMC Medical Informatics and Decision Making, 23, 18.</w:t>
      </w:r>
    </w:p>
    <w:p w:rsidR="00AF4655" w:rsidRPr="00802DA3" w:rsidRDefault="00AF4655" w:rsidP="00802DA3">
      <w:pPr>
        <w:numPr>
          <w:ilvl w:val="0"/>
          <w:numId w:val="23"/>
        </w:numPr>
        <w:tabs>
          <w:tab w:val="clear" w:pos="720"/>
          <w:tab w:val="num" w:pos="360"/>
        </w:tabs>
        <w:spacing w:before="100" w:beforeAutospacing="1" w:after="100" w:afterAutospacing="1" w:line="276" w:lineRule="auto"/>
        <w:ind w:left="360"/>
        <w:rPr>
          <w:rFonts w:ascii="Cambria" w:hAnsi="Cambria"/>
          <w:sz w:val="20"/>
          <w:szCs w:val="20"/>
        </w:rPr>
      </w:pPr>
      <w:proofErr w:type="spellStart"/>
      <w:r w:rsidRPr="00802DA3">
        <w:rPr>
          <w:rFonts w:ascii="Cambria" w:hAnsi="Cambria"/>
          <w:sz w:val="20"/>
          <w:szCs w:val="20"/>
        </w:rPr>
        <w:t>Vorisek</w:t>
      </w:r>
      <w:proofErr w:type="spellEnd"/>
      <w:r w:rsidRPr="00802DA3">
        <w:rPr>
          <w:rFonts w:ascii="Cambria" w:hAnsi="Cambria"/>
          <w:sz w:val="20"/>
          <w:szCs w:val="20"/>
        </w:rPr>
        <w:t>, C. N. (2022). Fast Healthcare Interoperability Resources (FHIR) for interoperable and shareable clinical data. JMIR Medical Informatics, 10(7), e35724.</w:t>
      </w:r>
    </w:p>
    <w:p w:rsidR="00AF4655" w:rsidRPr="00802DA3" w:rsidRDefault="00AF4655" w:rsidP="00802DA3">
      <w:pPr>
        <w:numPr>
          <w:ilvl w:val="0"/>
          <w:numId w:val="23"/>
        </w:numPr>
        <w:tabs>
          <w:tab w:val="clear" w:pos="720"/>
          <w:tab w:val="num" w:pos="360"/>
        </w:tabs>
        <w:spacing w:before="100" w:beforeAutospacing="1" w:after="100" w:afterAutospacing="1" w:line="276" w:lineRule="auto"/>
        <w:ind w:left="360"/>
        <w:rPr>
          <w:rFonts w:ascii="Cambria" w:hAnsi="Cambria"/>
          <w:sz w:val="20"/>
          <w:szCs w:val="20"/>
        </w:rPr>
      </w:pPr>
      <w:r w:rsidRPr="00802DA3">
        <w:rPr>
          <w:rFonts w:ascii="Cambria" w:hAnsi="Cambria"/>
          <w:sz w:val="20"/>
          <w:szCs w:val="20"/>
        </w:rPr>
        <w:t xml:space="preserve">Zhang, X., &amp; </w:t>
      </w:r>
      <w:proofErr w:type="spellStart"/>
      <w:r w:rsidRPr="00802DA3">
        <w:rPr>
          <w:rFonts w:ascii="Cambria" w:hAnsi="Cambria"/>
          <w:sz w:val="20"/>
          <w:szCs w:val="20"/>
        </w:rPr>
        <w:t>Saltman</w:t>
      </w:r>
      <w:proofErr w:type="spellEnd"/>
      <w:r w:rsidRPr="00802DA3">
        <w:rPr>
          <w:rFonts w:ascii="Cambria" w:hAnsi="Cambria"/>
          <w:sz w:val="20"/>
          <w:szCs w:val="20"/>
        </w:rPr>
        <w:t>, R. (2022). Impact of electronic health record interoperability on telehealth service outcomes. JMIR Medical Informatics, 10(1), e31837.</w:t>
      </w:r>
    </w:p>
    <w:p w:rsidR="00AF4655" w:rsidRPr="00802DA3" w:rsidRDefault="00AF4655" w:rsidP="00802DA3">
      <w:pPr>
        <w:numPr>
          <w:ilvl w:val="0"/>
          <w:numId w:val="23"/>
        </w:numPr>
        <w:tabs>
          <w:tab w:val="clear" w:pos="720"/>
          <w:tab w:val="num" w:pos="360"/>
        </w:tabs>
        <w:spacing w:before="100" w:beforeAutospacing="1" w:after="100" w:afterAutospacing="1" w:line="276" w:lineRule="auto"/>
        <w:ind w:left="360"/>
        <w:rPr>
          <w:rFonts w:ascii="Cambria" w:hAnsi="Cambria"/>
          <w:sz w:val="20"/>
          <w:szCs w:val="20"/>
        </w:rPr>
      </w:pPr>
      <w:proofErr w:type="spellStart"/>
      <w:r w:rsidRPr="00802DA3">
        <w:rPr>
          <w:rFonts w:ascii="Cambria" w:hAnsi="Cambria"/>
          <w:sz w:val="20"/>
          <w:szCs w:val="20"/>
        </w:rPr>
        <w:lastRenderedPageBreak/>
        <w:t>Zurynski</w:t>
      </w:r>
      <w:proofErr w:type="spellEnd"/>
      <w:r w:rsidRPr="00802DA3">
        <w:rPr>
          <w:rFonts w:ascii="Cambria" w:hAnsi="Cambria"/>
          <w:sz w:val="20"/>
          <w:szCs w:val="20"/>
        </w:rPr>
        <w:t xml:space="preserve">, Y., Ellis, L. A., &amp; Tong, H. L. (2021). Implementation of electronic medical records in </w:t>
      </w:r>
      <w:r w:rsidRPr="00802DA3">
        <w:rPr>
          <w:rFonts w:ascii="Cambria" w:hAnsi="Cambria"/>
          <w:sz w:val="20"/>
          <w:szCs w:val="20"/>
        </w:rPr>
        <w:t>mental health settings: Scoping review. JMIR Mental Health, 8(9), e30564.</w:t>
      </w:r>
    </w:p>
    <w:p w:rsidR="00AF4655" w:rsidRPr="00802DA3" w:rsidRDefault="00AF4655" w:rsidP="00802DA3">
      <w:pPr>
        <w:spacing w:after="0" w:line="276" w:lineRule="auto"/>
        <w:rPr>
          <w:rFonts w:ascii="Cambria" w:hAnsi="Cambria"/>
        </w:rPr>
        <w:sectPr w:rsidR="00AF4655" w:rsidRPr="00802DA3" w:rsidSect="00AF4655">
          <w:type w:val="continuous"/>
          <w:pgSz w:w="11906" w:h="16838"/>
          <w:pgMar w:top="720" w:right="720" w:bottom="720" w:left="720" w:header="708" w:footer="708" w:gutter="0"/>
          <w:pgNumType w:start="1"/>
          <w:cols w:num="2" w:space="708"/>
          <w:docGrid w:linePitch="360"/>
        </w:sectPr>
      </w:pPr>
    </w:p>
    <w:p w:rsidR="005A600A" w:rsidRPr="00802DA3" w:rsidRDefault="005A600A" w:rsidP="00802DA3">
      <w:pPr>
        <w:spacing w:after="0" w:line="276" w:lineRule="auto"/>
        <w:rPr>
          <w:rFonts w:ascii="Cambria" w:hAnsi="Cambria"/>
        </w:rPr>
      </w:pPr>
    </w:p>
    <w:sectPr w:rsidR="005A600A" w:rsidRPr="00802DA3" w:rsidSect="00AF4655">
      <w:type w:val="continuous"/>
      <w:pgSz w:w="11906" w:h="16838"/>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0100" w:rsidRDefault="009A0100" w:rsidP="00156AB4">
      <w:pPr>
        <w:spacing w:after="0" w:line="240" w:lineRule="auto"/>
      </w:pPr>
      <w:r>
        <w:separator/>
      </w:r>
    </w:p>
  </w:endnote>
  <w:endnote w:type="continuationSeparator" w:id="0">
    <w:p w:rsidR="009A0100" w:rsidRDefault="009A0100" w:rsidP="00156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40"/>
      <w:gridCol w:w="5226"/>
    </w:tblGrid>
    <w:tr w:rsidR="004B0EE8" w:rsidRPr="004B0EE8" w:rsidTr="006C092A">
      <w:trPr>
        <w:trHeight w:hRule="exact" w:val="115"/>
        <w:jc w:val="center"/>
      </w:trPr>
      <w:tc>
        <w:tcPr>
          <w:tcW w:w="4686" w:type="dxa"/>
          <w:shd w:val="clear" w:color="auto" w:fill="002060"/>
          <w:tcMar>
            <w:top w:w="0" w:type="dxa"/>
            <w:bottom w:w="0" w:type="dxa"/>
          </w:tcMar>
        </w:tcPr>
        <w:p w:rsidR="00FE11AA" w:rsidRPr="004B0EE8" w:rsidRDefault="00FE11AA">
          <w:pPr>
            <w:pStyle w:val="Header"/>
            <w:rPr>
              <w:caps/>
              <w:color w:val="C45911" w:themeColor="accent2" w:themeShade="BF"/>
              <w:sz w:val="18"/>
            </w:rPr>
          </w:pPr>
        </w:p>
      </w:tc>
      <w:tc>
        <w:tcPr>
          <w:tcW w:w="4674" w:type="dxa"/>
          <w:shd w:val="clear" w:color="auto" w:fill="002060"/>
          <w:tcMar>
            <w:top w:w="0" w:type="dxa"/>
            <w:bottom w:w="0" w:type="dxa"/>
          </w:tcMar>
        </w:tcPr>
        <w:p w:rsidR="00FE11AA" w:rsidRDefault="00FE11AA">
          <w:pPr>
            <w:pStyle w:val="Header"/>
            <w:jc w:val="right"/>
            <w:rPr>
              <w:caps/>
              <w:sz w:val="18"/>
            </w:rPr>
          </w:pPr>
        </w:p>
      </w:tc>
    </w:tr>
    <w:tr w:rsidR="00FE11AA" w:rsidRPr="00464426">
      <w:trPr>
        <w:jc w:val="center"/>
      </w:trPr>
      <w:sdt>
        <w:sdtPr>
          <w:rPr>
            <w:b/>
            <w:bCs/>
            <w:color w:val="002060"/>
            <w:sz w:val="18"/>
            <w:szCs w:val="18"/>
          </w:rPr>
          <w:alias w:val="Author"/>
          <w:tag w:val=""/>
          <w:id w:val="1534151868"/>
          <w:placeholder>
            <w:docPart w:val="9DE41861C7DF45E38B636D252D3A3A06"/>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FE11AA" w:rsidRPr="00464426" w:rsidRDefault="006C092A">
              <w:pPr>
                <w:pStyle w:val="Footer"/>
                <w:rPr>
                  <w:b/>
                  <w:bCs/>
                  <w:caps/>
                  <w:color w:val="0070C0"/>
                  <w:sz w:val="18"/>
                  <w:szCs w:val="18"/>
                </w:rPr>
              </w:pPr>
              <w:r w:rsidRPr="006C092A">
                <w:rPr>
                  <w:b/>
                  <w:bCs/>
                  <w:color w:val="002060"/>
                  <w:sz w:val="18"/>
                  <w:szCs w:val="18"/>
                </w:rPr>
                <w:t>https://irjernet.com/index.php/fbim</w:t>
              </w:r>
            </w:p>
          </w:tc>
        </w:sdtContent>
      </w:sdt>
      <w:tc>
        <w:tcPr>
          <w:tcW w:w="4674" w:type="dxa"/>
          <w:shd w:val="clear" w:color="auto" w:fill="auto"/>
          <w:vAlign w:val="center"/>
        </w:tcPr>
        <w:p w:rsidR="00FE11AA" w:rsidRPr="00464426" w:rsidRDefault="00FE11AA">
          <w:pPr>
            <w:pStyle w:val="Footer"/>
            <w:jc w:val="right"/>
            <w:rPr>
              <w:b/>
              <w:bCs/>
              <w:caps/>
              <w:color w:val="0070C0"/>
              <w:sz w:val="18"/>
              <w:szCs w:val="18"/>
            </w:rPr>
          </w:pPr>
          <w:r w:rsidRPr="006C092A">
            <w:rPr>
              <w:b/>
              <w:bCs/>
              <w:caps/>
              <w:color w:val="002060"/>
              <w:sz w:val="18"/>
              <w:szCs w:val="18"/>
            </w:rPr>
            <w:fldChar w:fldCharType="begin"/>
          </w:r>
          <w:r w:rsidRPr="006C092A">
            <w:rPr>
              <w:b/>
              <w:bCs/>
              <w:caps/>
              <w:color w:val="002060"/>
              <w:sz w:val="18"/>
              <w:szCs w:val="18"/>
            </w:rPr>
            <w:instrText xml:space="preserve"> PAGE   \* MERGEFORMAT </w:instrText>
          </w:r>
          <w:r w:rsidRPr="006C092A">
            <w:rPr>
              <w:b/>
              <w:bCs/>
              <w:caps/>
              <w:color w:val="002060"/>
              <w:sz w:val="18"/>
              <w:szCs w:val="18"/>
            </w:rPr>
            <w:fldChar w:fldCharType="separate"/>
          </w:r>
          <w:r w:rsidRPr="006C092A">
            <w:rPr>
              <w:b/>
              <w:bCs/>
              <w:caps/>
              <w:noProof/>
              <w:color w:val="002060"/>
              <w:sz w:val="18"/>
              <w:szCs w:val="18"/>
            </w:rPr>
            <w:t>2</w:t>
          </w:r>
          <w:r w:rsidRPr="006C092A">
            <w:rPr>
              <w:b/>
              <w:bCs/>
              <w:caps/>
              <w:noProof/>
              <w:color w:val="002060"/>
              <w:sz w:val="18"/>
              <w:szCs w:val="18"/>
            </w:rPr>
            <w:fldChar w:fldCharType="end"/>
          </w:r>
        </w:p>
      </w:tc>
    </w:tr>
  </w:tbl>
  <w:p w:rsidR="00FE11AA" w:rsidRDefault="004B0EE8" w:rsidP="004B0EE8">
    <w:pPr>
      <w:pStyle w:val="Footer"/>
      <w:tabs>
        <w:tab w:val="clear" w:pos="4513"/>
        <w:tab w:val="clear" w:pos="9026"/>
        <w:tab w:val="left" w:pos="571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0100" w:rsidRDefault="009A0100" w:rsidP="00156AB4">
      <w:pPr>
        <w:spacing w:after="0" w:line="240" w:lineRule="auto"/>
      </w:pPr>
      <w:r>
        <w:separator/>
      </w:r>
    </w:p>
  </w:footnote>
  <w:footnote w:type="continuationSeparator" w:id="0">
    <w:p w:rsidR="009A0100" w:rsidRDefault="009A0100" w:rsidP="00156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1AA" w:rsidRPr="00086790" w:rsidRDefault="006C092A" w:rsidP="00156AB4">
    <w:pPr>
      <w:pStyle w:val="Header"/>
      <w:rPr>
        <w:b/>
        <w:bCs/>
        <w:color w:val="C45911" w:themeColor="accent2" w:themeShade="BF"/>
      </w:rPr>
    </w:pPr>
    <w:r>
      <w:rPr>
        <w:b/>
        <w:bCs/>
        <w:color w:val="002060"/>
      </w:rPr>
      <w:t>F</w:t>
    </w:r>
    <w:r w:rsidR="00AF4655">
      <w:rPr>
        <w:b/>
        <w:bCs/>
        <w:color w:val="002060"/>
      </w:rPr>
      <w:t>EET</w:t>
    </w:r>
    <w:r w:rsidR="00FE11AA" w:rsidRPr="006C092A">
      <w:rPr>
        <w:b/>
        <w:bCs/>
        <w:color w:val="002060"/>
      </w:rPr>
      <w:t>, (202</w:t>
    </w:r>
    <w:r w:rsidR="000B7CB9">
      <w:rPr>
        <w:b/>
        <w:bCs/>
        <w:color w:val="002060"/>
      </w:rPr>
      <w:t>6</w:t>
    </w:r>
    <w:r w:rsidR="00FE11AA" w:rsidRPr="006C092A">
      <w:rPr>
        <w:b/>
        <w:bCs/>
        <w:color w:val="002060"/>
      </w:rPr>
      <w:t>)</w:t>
    </w:r>
    <w:r w:rsidR="00FE11AA" w:rsidRPr="00086790">
      <w:rPr>
        <w:b/>
        <w:bCs/>
        <w:color w:val="C45911" w:themeColor="accent2" w:themeShade="BF"/>
      </w:rPr>
      <w:t xml:space="preserve">                                                                                                                                                    </w:t>
    </w:r>
    <w:r w:rsidR="004B0EE8" w:rsidRPr="00086790">
      <w:rPr>
        <w:b/>
        <w:bCs/>
        <w:color w:val="C45911" w:themeColor="accent2" w:themeShade="BF"/>
      </w:rPr>
      <w:t xml:space="preserve">          </w:t>
    </w:r>
  </w:p>
  <w:p w:rsidR="00FE11AA" w:rsidRPr="00156AB4" w:rsidRDefault="00FE11AA" w:rsidP="00156AB4">
    <w:pPr>
      <w:pStyle w:val="Header"/>
    </w:pPr>
    <w:r>
      <w:rPr>
        <w:noProof/>
      </w:rPr>
      <mc:AlternateContent>
        <mc:Choice Requires="wps">
          <w:drawing>
            <wp:anchor distT="0" distB="0" distL="114300" distR="114300" simplePos="0" relativeHeight="251659264" behindDoc="0" locked="0" layoutInCell="1" allowOverlap="1">
              <wp:simplePos x="0" y="0"/>
              <wp:positionH relativeFrom="column">
                <wp:posOffset>-6928</wp:posOffset>
              </wp:positionH>
              <wp:positionV relativeFrom="paragraph">
                <wp:posOffset>109970</wp:posOffset>
              </wp:positionV>
              <wp:extent cx="6636327"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36327" cy="0"/>
                      </a:xfrm>
                      <a:prstGeom prst="line">
                        <a:avLst/>
                      </a:prstGeom>
                      <a:ln>
                        <a:solidFill>
                          <a:srgbClr val="2D95B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92E31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8.65pt" to="522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" strokecolor="#2d95b1"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71B0"/>
    <w:multiLevelType w:val="multilevel"/>
    <w:tmpl w:val="58B45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8B0A2A"/>
    <w:multiLevelType w:val="multilevel"/>
    <w:tmpl w:val="AD6EE78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64974"/>
    <w:multiLevelType w:val="multilevel"/>
    <w:tmpl w:val="79263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9474B0"/>
    <w:multiLevelType w:val="multilevel"/>
    <w:tmpl w:val="C75CA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7D0D39"/>
    <w:multiLevelType w:val="multilevel"/>
    <w:tmpl w:val="025E3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6B3637"/>
    <w:multiLevelType w:val="multilevel"/>
    <w:tmpl w:val="43B2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3557E"/>
    <w:multiLevelType w:val="multilevel"/>
    <w:tmpl w:val="079E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C90E55"/>
    <w:multiLevelType w:val="multilevel"/>
    <w:tmpl w:val="EBCC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7B4B17"/>
    <w:multiLevelType w:val="multilevel"/>
    <w:tmpl w:val="DABA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6D5F37"/>
    <w:multiLevelType w:val="multilevel"/>
    <w:tmpl w:val="FABC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F95668"/>
    <w:multiLevelType w:val="multilevel"/>
    <w:tmpl w:val="3CC0D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1C1616"/>
    <w:multiLevelType w:val="multilevel"/>
    <w:tmpl w:val="DD08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50595A"/>
    <w:multiLevelType w:val="multilevel"/>
    <w:tmpl w:val="30989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340E7F"/>
    <w:multiLevelType w:val="multilevel"/>
    <w:tmpl w:val="AD42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973E9B"/>
    <w:multiLevelType w:val="hybridMultilevel"/>
    <w:tmpl w:val="27683300"/>
    <w:styleLink w:val="ImportedStyle4"/>
    <w:lvl w:ilvl="0" w:tplc="F6F00A16">
      <w:start w:val="1"/>
      <w:numFmt w:val="decimal"/>
      <w:lvlText w:val="%1."/>
      <w:lvlJc w:val="left"/>
      <w:pPr>
        <w:ind w:left="720" w:hanging="36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4C0297A">
      <w:start w:val="1"/>
      <w:numFmt w:val="decimal"/>
      <w:lvlText w:val="%2."/>
      <w:lvlJc w:val="left"/>
      <w:pPr>
        <w:ind w:left="1082" w:hanging="36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1A21BE">
      <w:start w:val="1"/>
      <w:numFmt w:val="decimal"/>
      <w:lvlText w:val="%3."/>
      <w:lvlJc w:val="left"/>
      <w:pPr>
        <w:ind w:left="1802" w:hanging="36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96B4B2">
      <w:start w:val="1"/>
      <w:numFmt w:val="decimal"/>
      <w:lvlText w:val="%4."/>
      <w:lvlJc w:val="left"/>
      <w:pPr>
        <w:ind w:left="2522" w:hanging="36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94DF8C">
      <w:start w:val="1"/>
      <w:numFmt w:val="decimal"/>
      <w:lvlText w:val="%5."/>
      <w:lvlJc w:val="left"/>
      <w:pPr>
        <w:ind w:left="3242" w:hanging="36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7C20A0">
      <w:start w:val="1"/>
      <w:numFmt w:val="decimal"/>
      <w:lvlText w:val="%6."/>
      <w:lvlJc w:val="left"/>
      <w:pPr>
        <w:ind w:left="3962" w:hanging="36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AEA8FD0">
      <w:start w:val="1"/>
      <w:numFmt w:val="decimal"/>
      <w:lvlText w:val="%7."/>
      <w:lvlJc w:val="left"/>
      <w:pPr>
        <w:ind w:left="4682" w:hanging="36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FDAB316">
      <w:start w:val="1"/>
      <w:numFmt w:val="decimal"/>
      <w:lvlText w:val="%8."/>
      <w:lvlJc w:val="left"/>
      <w:pPr>
        <w:ind w:left="5402" w:hanging="36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76C31A">
      <w:start w:val="1"/>
      <w:numFmt w:val="decimal"/>
      <w:lvlText w:val="%9."/>
      <w:lvlJc w:val="left"/>
      <w:pPr>
        <w:ind w:left="6122" w:hanging="36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61041BAB"/>
    <w:multiLevelType w:val="multilevel"/>
    <w:tmpl w:val="3D10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4E79DB"/>
    <w:multiLevelType w:val="multilevel"/>
    <w:tmpl w:val="295A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CB109A"/>
    <w:multiLevelType w:val="multilevel"/>
    <w:tmpl w:val="0BB4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CC27CD"/>
    <w:multiLevelType w:val="multilevel"/>
    <w:tmpl w:val="5A34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4A4B79"/>
    <w:multiLevelType w:val="multilevel"/>
    <w:tmpl w:val="653A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B717B2"/>
    <w:multiLevelType w:val="multilevel"/>
    <w:tmpl w:val="8A52E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013A2A"/>
    <w:multiLevelType w:val="multilevel"/>
    <w:tmpl w:val="3F2CC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F082090"/>
    <w:multiLevelType w:val="multilevel"/>
    <w:tmpl w:val="E182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0"/>
  </w:num>
  <w:num w:numId="3">
    <w:abstractNumId w:val="21"/>
  </w:num>
  <w:num w:numId="4">
    <w:abstractNumId w:val="12"/>
  </w:num>
  <w:num w:numId="5">
    <w:abstractNumId w:val="19"/>
  </w:num>
  <w:num w:numId="6">
    <w:abstractNumId w:val="2"/>
  </w:num>
  <w:num w:numId="7">
    <w:abstractNumId w:val="8"/>
  </w:num>
  <w:num w:numId="8">
    <w:abstractNumId w:val="7"/>
  </w:num>
  <w:num w:numId="9">
    <w:abstractNumId w:val="15"/>
  </w:num>
  <w:num w:numId="10">
    <w:abstractNumId w:val="20"/>
  </w:num>
  <w:num w:numId="11">
    <w:abstractNumId w:val="9"/>
  </w:num>
  <w:num w:numId="12">
    <w:abstractNumId w:val="17"/>
  </w:num>
  <w:num w:numId="13">
    <w:abstractNumId w:val="22"/>
  </w:num>
  <w:num w:numId="14">
    <w:abstractNumId w:val="11"/>
  </w:num>
  <w:num w:numId="15">
    <w:abstractNumId w:val="18"/>
  </w:num>
  <w:num w:numId="16">
    <w:abstractNumId w:val="6"/>
  </w:num>
  <w:num w:numId="17">
    <w:abstractNumId w:val="5"/>
  </w:num>
  <w:num w:numId="18">
    <w:abstractNumId w:val="3"/>
  </w:num>
  <w:num w:numId="19">
    <w:abstractNumId w:val="10"/>
  </w:num>
  <w:num w:numId="20">
    <w:abstractNumId w:val="13"/>
  </w:num>
  <w:num w:numId="21">
    <w:abstractNumId w:val="16"/>
  </w:num>
  <w:num w:numId="22">
    <w:abstractNumId w:val="4"/>
  </w:num>
  <w:num w:numId="23">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AB4"/>
    <w:rsid w:val="000028FF"/>
    <w:rsid w:val="00022E19"/>
    <w:rsid w:val="00044C47"/>
    <w:rsid w:val="00055F7B"/>
    <w:rsid w:val="00086790"/>
    <w:rsid w:val="000A518E"/>
    <w:rsid w:val="000B7CB9"/>
    <w:rsid w:val="000C76D2"/>
    <w:rsid w:val="000D06A6"/>
    <w:rsid w:val="000E3468"/>
    <w:rsid w:val="000F0CDE"/>
    <w:rsid w:val="000F6E8C"/>
    <w:rsid w:val="00110463"/>
    <w:rsid w:val="001423CC"/>
    <w:rsid w:val="00156AB4"/>
    <w:rsid w:val="0016256D"/>
    <w:rsid w:val="001840B6"/>
    <w:rsid w:val="00184B4A"/>
    <w:rsid w:val="001D3449"/>
    <w:rsid w:val="00224A10"/>
    <w:rsid w:val="00276ABA"/>
    <w:rsid w:val="002C25CC"/>
    <w:rsid w:val="002F34F2"/>
    <w:rsid w:val="00333FD5"/>
    <w:rsid w:val="00361F5D"/>
    <w:rsid w:val="003B7009"/>
    <w:rsid w:val="003D63AC"/>
    <w:rsid w:val="003F34CC"/>
    <w:rsid w:val="00400418"/>
    <w:rsid w:val="00402023"/>
    <w:rsid w:val="00406B2D"/>
    <w:rsid w:val="0044407E"/>
    <w:rsid w:val="00447DEE"/>
    <w:rsid w:val="00464426"/>
    <w:rsid w:val="00491668"/>
    <w:rsid w:val="004B0EE8"/>
    <w:rsid w:val="004D3CF8"/>
    <w:rsid w:val="004E6950"/>
    <w:rsid w:val="00502CF7"/>
    <w:rsid w:val="0052678D"/>
    <w:rsid w:val="00532516"/>
    <w:rsid w:val="00535806"/>
    <w:rsid w:val="00540B92"/>
    <w:rsid w:val="00550C65"/>
    <w:rsid w:val="00557EC5"/>
    <w:rsid w:val="005A52A3"/>
    <w:rsid w:val="005A600A"/>
    <w:rsid w:val="005C66BF"/>
    <w:rsid w:val="005D19F4"/>
    <w:rsid w:val="005F0EB4"/>
    <w:rsid w:val="00601C24"/>
    <w:rsid w:val="00612320"/>
    <w:rsid w:val="00613DA0"/>
    <w:rsid w:val="00631B46"/>
    <w:rsid w:val="006674FA"/>
    <w:rsid w:val="006678FB"/>
    <w:rsid w:val="00672767"/>
    <w:rsid w:val="006822E0"/>
    <w:rsid w:val="00683B1E"/>
    <w:rsid w:val="006C092A"/>
    <w:rsid w:val="006D7B40"/>
    <w:rsid w:val="00720C40"/>
    <w:rsid w:val="007218A6"/>
    <w:rsid w:val="007244EB"/>
    <w:rsid w:val="007548E8"/>
    <w:rsid w:val="00756547"/>
    <w:rsid w:val="00762A96"/>
    <w:rsid w:val="00774093"/>
    <w:rsid w:val="0077598B"/>
    <w:rsid w:val="007C668A"/>
    <w:rsid w:val="00800FF4"/>
    <w:rsid w:val="00802DA3"/>
    <w:rsid w:val="00815BD9"/>
    <w:rsid w:val="00843D21"/>
    <w:rsid w:val="00851425"/>
    <w:rsid w:val="008747B4"/>
    <w:rsid w:val="00876253"/>
    <w:rsid w:val="008859DF"/>
    <w:rsid w:val="008958F1"/>
    <w:rsid w:val="00895E2E"/>
    <w:rsid w:val="008A0CD1"/>
    <w:rsid w:val="008B2609"/>
    <w:rsid w:val="00910DCC"/>
    <w:rsid w:val="00957B2E"/>
    <w:rsid w:val="00970F48"/>
    <w:rsid w:val="00972ECC"/>
    <w:rsid w:val="009A0100"/>
    <w:rsid w:val="009A0585"/>
    <w:rsid w:val="009B7E79"/>
    <w:rsid w:val="009F576F"/>
    <w:rsid w:val="00A01654"/>
    <w:rsid w:val="00A0660C"/>
    <w:rsid w:val="00A15749"/>
    <w:rsid w:val="00A239A2"/>
    <w:rsid w:val="00A24D6F"/>
    <w:rsid w:val="00A8193F"/>
    <w:rsid w:val="00A83130"/>
    <w:rsid w:val="00A83E08"/>
    <w:rsid w:val="00A878F0"/>
    <w:rsid w:val="00A90D5E"/>
    <w:rsid w:val="00AA2E57"/>
    <w:rsid w:val="00AD3DA6"/>
    <w:rsid w:val="00AD7AE9"/>
    <w:rsid w:val="00AF4655"/>
    <w:rsid w:val="00B00BA5"/>
    <w:rsid w:val="00B074A4"/>
    <w:rsid w:val="00B65751"/>
    <w:rsid w:val="00B71C2A"/>
    <w:rsid w:val="00B76714"/>
    <w:rsid w:val="00B8740F"/>
    <w:rsid w:val="00B935A7"/>
    <w:rsid w:val="00BB22AF"/>
    <w:rsid w:val="00BC7224"/>
    <w:rsid w:val="00C0488E"/>
    <w:rsid w:val="00C20993"/>
    <w:rsid w:val="00C21EB1"/>
    <w:rsid w:val="00C45609"/>
    <w:rsid w:val="00C637BC"/>
    <w:rsid w:val="00C9522A"/>
    <w:rsid w:val="00C95F13"/>
    <w:rsid w:val="00CE29BA"/>
    <w:rsid w:val="00D06261"/>
    <w:rsid w:val="00D11153"/>
    <w:rsid w:val="00D7039B"/>
    <w:rsid w:val="00D922CE"/>
    <w:rsid w:val="00DB3ACA"/>
    <w:rsid w:val="00DC1942"/>
    <w:rsid w:val="00DD47C3"/>
    <w:rsid w:val="00E02282"/>
    <w:rsid w:val="00E245E7"/>
    <w:rsid w:val="00E34805"/>
    <w:rsid w:val="00E453ED"/>
    <w:rsid w:val="00E5509A"/>
    <w:rsid w:val="00E90F11"/>
    <w:rsid w:val="00E968AF"/>
    <w:rsid w:val="00EB7EFD"/>
    <w:rsid w:val="00F06F5A"/>
    <w:rsid w:val="00F26B4E"/>
    <w:rsid w:val="00F40C3F"/>
    <w:rsid w:val="00F8328E"/>
    <w:rsid w:val="00FC799F"/>
    <w:rsid w:val="00FE11AA"/>
    <w:rsid w:val="00FE5858"/>
    <w:rsid w:val="00FF269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74F5B7F-08F8-440D-B9EB-4DD72C248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C952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AF46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F4655"/>
    <w:pPr>
      <w:keepNext/>
      <w:keepLines/>
      <w:spacing w:before="40" w:after="0"/>
      <w:outlineLvl w:val="2"/>
    </w:pPr>
    <w:rPr>
      <w:rFonts w:asciiTheme="majorHAnsi" w:eastAsiaTheme="majorEastAsia" w:hAnsiTheme="majorHAnsi" w:cstheme="majorBidi"/>
      <w:color w:val="1F3763" w:themeColor="accent1" w:themeShade="7F"/>
      <w:sz w:val="24"/>
      <w:szCs w:val="21"/>
      <w:lang w:val="en-US" w:bidi="hi-IN"/>
    </w:rPr>
  </w:style>
  <w:style w:type="paragraph" w:styleId="Heading8">
    <w:name w:val="heading 8"/>
    <w:basedOn w:val="Normal"/>
    <w:next w:val="Normal"/>
    <w:link w:val="Heading8Char"/>
    <w:uiPriority w:val="9"/>
    <w:semiHidden/>
    <w:unhideWhenUsed/>
    <w:qFormat/>
    <w:rsid w:val="00C20993"/>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6A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6AB4"/>
  </w:style>
  <w:style w:type="paragraph" w:styleId="Footer">
    <w:name w:val="footer"/>
    <w:basedOn w:val="Normal"/>
    <w:link w:val="FooterChar"/>
    <w:uiPriority w:val="99"/>
    <w:unhideWhenUsed/>
    <w:rsid w:val="00156A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6AB4"/>
  </w:style>
  <w:style w:type="character" w:styleId="Hyperlink">
    <w:name w:val="Hyperlink"/>
    <w:basedOn w:val="DefaultParagraphFont"/>
    <w:uiPriority w:val="99"/>
    <w:unhideWhenUsed/>
    <w:rsid w:val="00156AB4"/>
    <w:rPr>
      <w:color w:val="0563C1" w:themeColor="hyperlink"/>
      <w:u w:val="single"/>
    </w:rPr>
  </w:style>
  <w:style w:type="character" w:styleId="UnresolvedMention">
    <w:name w:val="Unresolved Mention"/>
    <w:basedOn w:val="DefaultParagraphFont"/>
    <w:uiPriority w:val="99"/>
    <w:semiHidden/>
    <w:unhideWhenUsed/>
    <w:rsid w:val="00156AB4"/>
    <w:rPr>
      <w:color w:val="605E5C"/>
      <w:shd w:val="clear" w:color="auto" w:fill="E1DFDD"/>
    </w:rPr>
  </w:style>
  <w:style w:type="character" w:styleId="PlaceholderText">
    <w:name w:val="Placeholder Text"/>
    <w:basedOn w:val="DefaultParagraphFont"/>
    <w:uiPriority w:val="99"/>
    <w:semiHidden/>
    <w:rsid w:val="00156AB4"/>
    <w:rPr>
      <w:color w:val="808080"/>
    </w:rPr>
  </w:style>
  <w:style w:type="paragraph" w:styleId="ListParagraph">
    <w:name w:val="List Paragraph"/>
    <w:basedOn w:val="Normal"/>
    <w:link w:val="ListParagraphChar"/>
    <w:uiPriority w:val="34"/>
    <w:qFormat/>
    <w:rsid w:val="00156AB4"/>
    <w:pPr>
      <w:spacing w:after="200" w:line="276" w:lineRule="auto"/>
      <w:ind w:left="720"/>
      <w:contextualSpacing/>
    </w:pPr>
    <w:rPr>
      <w:lang w:val="en-US"/>
    </w:rPr>
  </w:style>
  <w:style w:type="table" w:styleId="GridTable6Colorful">
    <w:name w:val="Grid Table 6 Colorful"/>
    <w:basedOn w:val="TableNormal"/>
    <w:uiPriority w:val="51"/>
    <w:rsid w:val="00613DA0"/>
    <w:pPr>
      <w:spacing w:after="0" w:line="240" w:lineRule="auto"/>
    </w:pPr>
    <w:rPr>
      <w:color w:val="000000" w:themeColor="text1"/>
      <w:kern w:val="2"/>
      <w:lang w:val="en-US"/>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6678FB"/>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A157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9522A"/>
    <w:rPr>
      <w:rFonts w:ascii="Times New Roman" w:eastAsia="Times New Roman" w:hAnsi="Times New Roman" w:cs="Times New Roman"/>
      <w:b/>
      <w:bCs/>
      <w:kern w:val="36"/>
      <w:sz w:val="48"/>
      <w:szCs w:val="48"/>
      <w:lang w:eastAsia="en-IN"/>
    </w:rPr>
  </w:style>
  <w:style w:type="character" w:customStyle="1" w:styleId="bkciteavail">
    <w:name w:val="bk_cite_avail"/>
    <w:basedOn w:val="DefaultParagraphFont"/>
    <w:rsid w:val="00C9522A"/>
  </w:style>
  <w:style w:type="table" w:styleId="PlainTable2">
    <w:name w:val="Plain Table 2"/>
    <w:basedOn w:val="TableNormal"/>
    <w:uiPriority w:val="42"/>
    <w:rsid w:val="008B2609"/>
    <w:pPr>
      <w:spacing w:after="0" w:line="240" w:lineRule="auto"/>
    </w:pPr>
    <w:rPr>
      <w:kern w:val="2"/>
      <w:lang w:val="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rl">
    <w:name w:val="url"/>
    <w:basedOn w:val="DefaultParagraphFont"/>
    <w:rsid w:val="00BC7224"/>
  </w:style>
  <w:style w:type="paragraph" w:customStyle="1" w:styleId="TableParagraph">
    <w:name w:val="Table Paragraph"/>
    <w:basedOn w:val="Normal"/>
    <w:uiPriority w:val="1"/>
    <w:qFormat/>
    <w:rsid w:val="006822E0"/>
    <w:pPr>
      <w:widowControl w:val="0"/>
      <w:autoSpaceDE w:val="0"/>
      <w:autoSpaceDN w:val="0"/>
      <w:spacing w:after="0" w:line="268" w:lineRule="exact"/>
      <w:ind w:left="105"/>
    </w:pPr>
    <w:rPr>
      <w:rFonts w:ascii="Times New Roman" w:eastAsia="Times New Roman" w:hAnsi="Times New Roman" w:cs="Times New Roman"/>
      <w:lang w:val="en-US"/>
    </w:rPr>
  </w:style>
  <w:style w:type="table" w:styleId="ListTable6Colorful">
    <w:name w:val="List Table 6 Colorful"/>
    <w:basedOn w:val="TableNormal"/>
    <w:uiPriority w:val="51"/>
    <w:rsid w:val="00D11153"/>
    <w:pPr>
      <w:spacing w:after="0" w:line="240" w:lineRule="auto"/>
    </w:pPr>
    <w:rPr>
      <w:color w:val="000000" w:themeColor="text1"/>
      <w:kern w:val="2"/>
      <w:lang w:val="en-US"/>
      <w14:ligatures w14:val="standardContextua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
    <w:name w:val="Body Text"/>
    <w:basedOn w:val="Normal"/>
    <w:link w:val="BodyTextChar"/>
    <w:uiPriority w:val="1"/>
    <w:qFormat/>
    <w:rsid w:val="005A52A3"/>
    <w:pPr>
      <w:widowControl w:val="0"/>
      <w:autoSpaceDE w:val="0"/>
      <w:autoSpaceDN w:val="0"/>
      <w:spacing w:after="0" w:line="240" w:lineRule="auto"/>
      <w:ind w:left="100"/>
      <w:jc w:val="both"/>
    </w:pPr>
    <w:rPr>
      <w:rFonts w:ascii="Calibri" w:eastAsia="Calibri" w:hAnsi="Calibri" w:cs="Calibri"/>
      <w:lang w:val="en-US"/>
    </w:rPr>
  </w:style>
  <w:style w:type="character" w:customStyle="1" w:styleId="BodyTextChar">
    <w:name w:val="Body Text Char"/>
    <w:basedOn w:val="DefaultParagraphFont"/>
    <w:link w:val="BodyText"/>
    <w:uiPriority w:val="1"/>
    <w:rsid w:val="005A52A3"/>
    <w:rPr>
      <w:rFonts w:ascii="Calibri" w:eastAsia="Calibri" w:hAnsi="Calibri" w:cs="Calibri"/>
      <w:lang w:val="en-US"/>
    </w:rPr>
  </w:style>
  <w:style w:type="character" w:customStyle="1" w:styleId="ListParagraphChar">
    <w:name w:val="List Paragraph Char"/>
    <w:basedOn w:val="DefaultParagraphFont"/>
    <w:link w:val="ListParagraph"/>
    <w:uiPriority w:val="1"/>
    <w:qFormat/>
    <w:locked/>
    <w:rsid w:val="005A52A3"/>
    <w:rPr>
      <w:lang w:val="en-US"/>
    </w:rPr>
  </w:style>
  <w:style w:type="table" w:styleId="TableGridLight">
    <w:name w:val="Grid Table Light"/>
    <w:basedOn w:val="TableNormal"/>
    <w:uiPriority w:val="40"/>
    <w:rsid w:val="000A518E"/>
    <w:pPr>
      <w:spacing w:after="0" w:line="240" w:lineRule="auto"/>
    </w:pPr>
    <w:rPr>
      <w:kern w:val="2"/>
      <w:lang w:val="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
    <w:name w:val="EndNote Bibliography"/>
    <w:basedOn w:val="Normal"/>
    <w:link w:val="EndNoteBibliographyChar"/>
    <w:rsid w:val="00A83130"/>
    <w:pPr>
      <w:spacing w:line="240" w:lineRule="auto"/>
      <w:jc w:val="both"/>
    </w:pPr>
    <w:rPr>
      <w:rFonts w:ascii="Aptos" w:hAnsi="Aptos"/>
      <w:noProof/>
      <w:kern w:val="2"/>
      <w:lang w:val="en-US"/>
      <w14:ligatures w14:val="standardContextual"/>
    </w:rPr>
  </w:style>
  <w:style w:type="character" w:customStyle="1" w:styleId="EndNoteBibliographyChar">
    <w:name w:val="EndNote Bibliography Char"/>
    <w:basedOn w:val="DefaultParagraphFont"/>
    <w:link w:val="EndNoteBibliography"/>
    <w:rsid w:val="00A83130"/>
    <w:rPr>
      <w:rFonts w:ascii="Aptos" w:hAnsi="Aptos"/>
      <w:noProof/>
      <w:kern w:val="2"/>
      <w:lang w:val="en-US"/>
      <w14:ligatures w14:val="standardContextual"/>
    </w:rPr>
  </w:style>
  <w:style w:type="numbering" w:customStyle="1" w:styleId="ImportedStyle4">
    <w:name w:val="Imported Style 4"/>
    <w:rsid w:val="000E3468"/>
    <w:pPr>
      <w:numPr>
        <w:numId w:val="1"/>
      </w:numPr>
    </w:pPr>
  </w:style>
  <w:style w:type="character" w:customStyle="1" w:styleId="Heading8Char">
    <w:name w:val="Heading 8 Char"/>
    <w:basedOn w:val="DefaultParagraphFont"/>
    <w:link w:val="Heading8"/>
    <w:uiPriority w:val="9"/>
    <w:semiHidden/>
    <w:rsid w:val="00C20993"/>
    <w:rPr>
      <w:rFonts w:asciiTheme="majorHAnsi" w:eastAsiaTheme="majorEastAsia" w:hAnsiTheme="majorHAnsi" w:cstheme="majorBidi"/>
      <w:color w:val="272727" w:themeColor="text1" w:themeTint="D8"/>
      <w:sz w:val="21"/>
      <w:szCs w:val="21"/>
    </w:rPr>
  </w:style>
  <w:style w:type="character" w:customStyle="1" w:styleId="Heading2Char">
    <w:name w:val="Heading 2 Char"/>
    <w:basedOn w:val="DefaultParagraphFont"/>
    <w:link w:val="Heading2"/>
    <w:uiPriority w:val="9"/>
    <w:semiHidden/>
    <w:rsid w:val="00AF465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F4655"/>
    <w:rPr>
      <w:rFonts w:asciiTheme="majorHAnsi" w:eastAsiaTheme="majorEastAsia" w:hAnsiTheme="majorHAnsi" w:cstheme="majorBidi"/>
      <w:color w:val="1F3763" w:themeColor="accent1" w:themeShade="7F"/>
      <w:sz w:val="24"/>
      <w:szCs w:val="21"/>
      <w:lang w:val="en-US" w:bidi="hi-IN"/>
    </w:rPr>
  </w:style>
  <w:style w:type="paragraph" w:customStyle="1" w:styleId="isselectedend">
    <w:name w:val="isselectedend"/>
    <w:basedOn w:val="Normal"/>
    <w:rsid w:val="00AF4655"/>
    <w:pPr>
      <w:spacing w:before="100" w:beforeAutospacing="1" w:after="100" w:afterAutospacing="1" w:line="240" w:lineRule="auto"/>
    </w:pPr>
    <w:rPr>
      <w:rFonts w:ascii="Times New Roman" w:eastAsia="Times New Roman" w:hAnsi="Times New Roman" w:cs="Times New Roman"/>
      <w:sz w:val="24"/>
      <w:szCs w:val="24"/>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E41861C7DF45E38B636D252D3A3A06"/>
        <w:category>
          <w:name w:val="General"/>
          <w:gallery w:val="placeholder"/>
        </w:category>
        <w:types>
          <w:type w:val="bbPlcHdr"/>
        </w:types>
        <w:behaviors>
          <w:behavior w:val="content"/>
        </w:behaviors>
        <w:guid w:val="{F40D8C64-25F8-4023-BC4F-DE9DE28251FC}"/>
      </w:docPartPr>
      <w:docPartBody>
        <w:p w:rsidR="00752EE7" w:rsidRDefault="00653210" w:rsidP="00653210">
          <w:pPr>
            <w:pStyle w:val="9DE41861C7DF45E38B636D252D3A3A06"/>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210"/>
    <w:rsid w:val="0003265F"/>
    <w:rsid w:val="00053393"/>
    <w:rsid w:val="00121943"/>
    <w:rsid w:val="00202DDF"/>
    <w:rsid w:val="002166CE"/>
    <w:rsid w:val="002378F9"/>
    <w:rsid w:val="00304041"/>
    <w:rsid w:val="00512939"/>
    <w:rsid w:val="005E5A37"/>
    <w:rsid w:val="00653210"/>
    <w:rsid w:val="0068121B"/>
    <w:rsid w:val="0068710C"/>
    <w:rsid w:val="006903E5"/>
    <w:rsid w:val="00723287"/>
    <w:rsid w:val="00752EE7"/>
    <w:rsid w:val="00821AF3"/>
    <w:rsid w:val="008E090D"/>
    <w:rsid w:val="00940C84"/>
    <w:rsid w:val="009D0B6C"/>
    <w:rsid w:val="00A40906"/>
    <w:rsid w:val="00AA0660"/>
    <w:rsid w:val="00AC7388"/>
    <w:rsid w:val="00C1223E"/>
    <w:rsid w:val="00C24958"/>
    <w:rsid w:val="00C2547A"/>
    <w:rsid w:val="00D71D8E"/>
    <w:rsid w:val="00DF0F5E"/>
    <w:rsid w:val="00E25DCB"/>
    <w:rsid w:val="00E7310E"/>
    <w:rsid w:val="00E84FDD"/>
    <w:rsid w:val="00EE0A92"/>
    <w:rsid w:val="00EE6532"/>
    <w:rsid w:val="00F34348"/>
    <w:rsid w:val="00F57CCC"/>
    <w:rsid w:val="00FB1C5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en-IN" w:eastAsia="en-IN"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3210"/>
    <w:rPr>
      <w:color w:val="808080"/>
    </w:rPr>
  </w:style>
  <w:style w:type="paragraph" w:customStyle="1" w:styleId="9DE41861C7DF45E38B636D252D3A3A06">
    <w:name w:val="9DE41861C7DF45E38B636D252D3A3A06"/>
    <w:rsid w:val="00653210"/>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3E81D-5AB2-47C4-8635-269569205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6443</Words>
  <Characters>36731</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https://irjernet.com/index.php/fbim</dc:creator>
  <cp:keywords/>
  <dc:description/>
  <cp:lastModifiedBy>netway</cp:lastModifiedBy>
  <cp:revision>3</cp:revision>
  <dcterms:created xsi:type="dcterms:W3CDTF">2026-06-20T11:44:00Z</dcterms:created>
  <dcterms:modified xsi:type="dcterms:W3CDTF">2026-06-22T05:31:00Z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bb3375bd9eeb56e83868b2cd46c746bde2e5000561a9f539056034fd14eb830c</vt:lpwstr>
  </property>
</Properties>
</file>